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9CB" w:rsidRPr="001919CB" w:rsidRDefault="001919CB" w:rsidP="00C07C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1919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HOTELIJERSKO-TURISTIČKA ŠKOLA OPATIJA</w:t>
      </w:r>
    </w:p>
    <w:p w:rsidR="00C07C4A" w:rsidRPr="00395F8B" w:rsidRDefault="001919CB" w:rsidP="00C07C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95F8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Drage </w:t>
      </w:r>
      <w:proofErr w:type="spellStart"/>
      <w:r w:rsidRPr="00395F8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Gervaisa</w:t>
      </w:r>
      <w:proofErr w:type="spellEnd"/>
      <w:r w:rsidRPr="00395F8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2, 51410 Opatija</w:t>
      </w:r>
    </w:p>
    <w:p w:rsidR="00C07C4A" w:rsidRPr="00395F8B" w:rsidRDefault="00382DB1" w:rsidP="00C07C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95F8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Adresa sjedišta: Drage </w:t>
      </w:r>
      <w:proofErr w:type="spellStart"/>
      <w:r w:rsidRPr="00395F8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Gervaisa</w:t>
      </w:r>
      <w:proofErr w:type="spellEnd"/>
      <w:r w:rsidRPr="00395F8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</w:t>
      </w:r>
    </w:p>
    <w:p w:rsidR="00382DB1" w:rsidRPr="00395F8B" w:rsidRDefault="00382DB1" w:rsidP="00C07C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95F8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Šifra županije: 8</w:t>
      </w:r>
    </w:p>
    <w:p w:rsidR="00382DB1" w:rsidRPr="00395F8B" w:rsidRDefault="00382DB1" w:rsidP="00C07C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95F8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Šifra grada: 302</w:t>
      </w:r>
    </w:p>
    <w:p w:rsidR="00382DB1" w:rsidRPr="00395F8B" w:rsidRDefault="00CB230A" w:rsidP="00C07C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95F8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RKP:</w:t>
      </w:r>
      <w:r w:rsidR="00395F8B" w:rsidRPr="00395F8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1919CB" w:rsidRPr="00395F8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17431</w:t>
      </w:r>
      <w:r w:rsidRPr="00395F8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:rsidR="00382DB1" w:rsidRPr="00395F8B" w:rsidRDefault="00382DB1" w:rsidP="00C07C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95F8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Matični broj: 03839788</w:t>
      </w:r>
    </w:p>
    <w:p w:rsidR="00382DB1" w:rsidRPr="00395F8B" w:rsidRDefault="00382DB1" w:rsidP="00C07C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95F8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OIB: 88785560957</w:t>
      </w:r>
    </w:p>
    <w:p w:rsidR="00395F8B" w:rsidRPr="00395F8B" w:rsidRDefault="00382DB1" w:rsidP="00C07C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95F8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Razina 31</w:t>
      </w:r>
    </w:p>
    <w:p w:rsidR="00CE68E3" w:rsidRPr="00395F8B" w:rsidRDefault="00395F8B" w:rsidP="00C07C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95F8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Razdjel 000</w:t>
      </w:r>
      <w:r w:rsidR="00CB230A" w:rsidRPr="00395F8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CB230A" w:rsidRPr="00395F8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CB230A" w:rsidRPr="00395F8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:rsidR="00CE68E3" w:rsidRPr="00395F8B" w:rsidRDefault="00382DB1" w:rsidP="00C07C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95F8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Šifra djelatnosti: 8532</w:t>
      </w:r>
    </w:p>
    <w:p w:rsidR="00382DB1" w:rsidRPr="00395F8B" w:rsidRDefault="00382DB1" w:rsidP="00C07C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95F8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Razdjel: 000</w:t>
      </w:r>
    </w:p>
    <w:p w:rsidR="00382DB1" w:rsidRPr="00395F8B" w:rsidRDefault="00395F8B" w:rsidP="00C07C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95F8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Oznaka razdoblja: 202</w:t>
      </w:r>
      <w:r w:rsidR="00E95F8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</w:t>
      </w:r>
      <w:r w:rsidRPr="00395F8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-12</w:t>
      </w:r>
    </w:p>
    <w:p w:rsidR="00CE68E3" w:rsidRDefault="00CE68E3" w:rsidP="00C07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B7713" w:rsidRPr="00AB7713" w:rsidRDefault="00C07C4A" w:rsidP="00AB7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AB7713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BILJEŠKE </w:t>
      </w:r>
      <w:r w:rsidR="006172F1" w:rsidRPr="00AB7713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UZ FINANCIJSKE</w:t>
      </w:r>
      <w:r w:rsidRPr="00AB7713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IZVJEŠTAJ</w:t>
      </w:r>
      <w:r w:rsidR="006172F1" w:rsidRPr="00AB7713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E</w:t>
      </w:r>
      <w:r w:rsidRPr="00AB7713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</w:t>
      </w:r>
    </w:p>
    <w:p w:rsidR="00C07C4A" w:rsidRPr="00AB7713" w:rsidRDefault="007B3CD0" w:rsidP="00AB7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za razdoblje od </w:t>
      </w:r>
      <w:r w:rsidR="00AB7713" w:rsidRPr="00AB7713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1. siječnja do 31. prosinca 202</w:t>
      </w:r>
      <w:r w:rsidR="00E95F80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3</w:t>
      </w:r>
      <w:r w:rsidR="00AB7713" w:rsidRPr="00AB7713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. godine</w:t>
      </w:r>
    </w:p>
    <w:p w:rsidR="00C07C4A" w:rsidRDefault="00C07C4A" w:rsidP="00C07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B7713" w:rsidRDefault="00AB7713" w:rsidP="00C07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911CC" w:rsidRPr="00C07C4A" w:rsidRDefault="001919CB" w:rsidP="00C07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Hotelijersko-turistička škola Opatija </w:t>
      </w:r>
      <w:r w:rsidR="005911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posluje u skladu sa Zakonom o odgoju i obrazovanju u osnovnoj i srednjoj školi </w:t>
      </w:r>
      <w:r w:rsidR="005911CC" w:rsidRPr="00C07C4A">
        <w:rPr>
          <w:rFonts w:ascii="Times New Roman" w:eastAsia="Times New Roman" w:hAnsi="Times New Roman" w:cs="Times New Roman"/>
          <w:sz w:val="24"/>
          <w:szCs w:val="24"/>
          <w:lang w:eastAsia="hr-HR"/>
        </w:rPr>
        <w:t>(N</w:t>
      </w:r>
      <w:r w:rsidR="005911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ar. nov., </w:t>
      </w:r>
      <w:r w:rsidR="005911CC" w:rsidRPr="005911CC">
        <w:rPr>
          <w:rFonts w:ascii="Times New Roman" w:eastAsia="Times New Roman" w:hAnsi="Times New Roman" w:cs="Times New Roman"/>
          <w:sz w:val="24"/>
          <w:szCs w:val="24"/>
          <w:lang w:eastAsia="hr-HR"/>
        </w:rPr>
        <w:t>87/08, 86/09, 92/10, 105/10, 90/11, 5/12, 16/12, 86/12, 126/12, 94/13, 152/14, 07/17, 68/18, 98/19</w:t>
      </w:r>
      <w:r w:rsidR="00282AF9">
        <w:rPr>
          <w:rFonts w:ascii="Times New Roman" w:eastAsia="Times New Roman" w:hAnsi="Times New Roman" w:cs="Times New Roman"/>
          <w:sz w:val="24"/>
          <w:szCs w:val="24"/>
          <w:lang w:eastAsia="hr-HR"/>
        </w:rPr>
        <w:t>, 64/20</w:t>
      </w:r>
      <w:r w:rsidR="00BD4A56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0E37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151/22</w:t>
      </w:r>
      <w:r w:rsidR="00BD4A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156/23</w:t>
      </w:r>
      <w:r w:rsidR="005911CC">
        <w:rPr>
          <w:rFonts w:ascii="Times New Roman" w:eastAsia="Times New Roman" w:hAnsi="Times New Roman" w:cs="Times New Roman"/>
          <w:sz w:val="24"/>
          <w:szCs w:val="24"/>
          <w:lang w:eastAsia="hr-HR"/>
        </w:rPr>
        <w:t>) i Statutom Škole.</w:t>
      </w:r>
    </w:p>
    <w:p w:rsidR="00C07C4A" w:rsidRDefault="00C07C4A" w:rsidP="00C07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7C4A">
        <w:rPr>
          <w:rFonts w:ascii="Times New Roman" w:eastAsia="Times New Roman" w:hAnsi="Times New Roman" w:cs="Times New Roman"/>
          <w:sz w:val="24"/>
          <w:szCs w:val="24"/>
          <w:lang w:eastAsia="hr-HR"/>
        </w:rPr>
        <w:t>Osnivač Škole je Primorsko-goranska županija.</w:t>
      </w:r>
    </w:p>
    <w:p w:rsidR="00144AD4" w:rsidRDefault="00144AD4" w:rsidP="00C07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44AD4" w:rsidRDefault="00144AD4" w:rsidP="00144A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07C4A">
        <w:rPr>
          <w:rFonts w:ascii="Times New Roman" w:eastAsia="Times New Roman" w:hAnsi="Times New Roman" w:cs="Times New Roman"/>
          <w:sz w:val="24"/>
          <w:szCs w:val="24"/>
          <w:lang w:eastAsia="hr-HR"/>
        </w:rPr>
        <w:t>U skladu s odredbama Pravilnika o financijskom izvještavanju u proračunskom računovodstvu (N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ar. nov., </w:t>
      </w:r>
      <w:r w:rsidR="000E3742">
        <w:rPr>
          <w:rFonts w:ascii="Times New Roman" w:eastAsia="Times New Roman" w:hAnsi="Times New Roman" w:cs="Times New Roman"/>
          <w:sz w:val="24"/>
          <w:szCs w:val="24"/>
          <w:lang w:eastAsia="hr-HR"/>
        </w:rPr>
        <w:t>37</w:t>
      </w:r>
      <w:r w:rsidR="007B3CD0">
        <w:rPr>
          <w:rFonts w:ascii="Times New Roman" w:eastAsia="Times New Roman" w:hAnsi="Times New Roman" w:cs="Times New Roman"/>
          <w:sz w:val="24"/>
          <w:szCs w:val="24"/>
          <w:lang w:eastAsia="hr-HR"/>
        </w:rPr>
        <w:t>/2</w:t>
      </w:r>
      <w:r w:rsidR="000E3742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364931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C07C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Okružnice o sastavljanju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konsolidaciji</w:t>
      </w:r>
      <w:r w:rsidRPr="00C07C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predaji financijskih izvještaja proračuna, proračunskih i izvanproračunskih korisnika državnog proračuna te proračunskih i izvanproračunskih korisnika proračuna jedinica lokalne i područne (regionalne) samouprave za razdoblje od 1. siječnja do 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Pr="00C07C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prosinca</w:t>
      </w:r>
      <w:r w:rsidRPr="00C07C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282AF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E95F80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C07C4A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godine, Ministarstva financija (KLASA:</w:t>
      </w:r>
      <w:r w:rsidR="00282AF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07C4A">
        <w:rPr>
          <w:rFonts w:ascii="Times New Roman" w:eastAsia="Times New Roman" w:hAnsi="Times New Roman" w:cs="Times New Roman"/>
          <w:sz w:val="24"/>
          <w:szCs w:val="24"/>
          <w:lang w:eastAsia="hr-HR"/>
        </w:rPr>
        <w:t>400-02/</w:t>
      </w:r>
      <w:r w:rsidR="00282AF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E95F80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C07C4A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E95F80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C07C4A">
        <w:rPr>
          <w:rFonts w:ascii="Times New Roman" w:eastAsia="Times New Roman" w:hAnsi="Times New Roman" w:cs="Times New Roman"/>
          <w:sz w:val="24"/>
          <w:szCs w:val="24"/>
          <w:lang w:eastAsia="hr-HR"/>
        </w:rPr>
        <w:t>, URBROJ: 513-05-0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3-2</w:t>
      </w:r>
      <w:r w:rsidR="00E95F80">
        <w:rPr>
          <w:rFonts w:ascii="Times New Roman" w:eastAsia="Times New Roman" w:hAnsi="Times New Roman" w:cs="Times New Roman"/>
          <w:sz w:val="24"/>
          <w:szCs w:val="24"/>
          <w:lang w:eastAsia="hr-HR"/>
        </w:rPr>
        <w:t>4-4</w:t>
      </w:r>
      <w:r w:rsidR="005157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</w:t>
      </w:r>
      <w:r w:rsidR="000E3742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E95F80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0E3742">
        <w:rPr>
          <w:rFonts w:ascii="Times New Roman" w:eastAsia="Times New Roman" w:hAnsi="Times New Roman" w:cs="Times New Roman"/>
          <w:sz w:val="24"/>
          <w:szCs w:val="24"/>
          <w:lang w:eastAsia="hr-HR"/>
        </w:rPr>
        <w:t>siječnja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E95F80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5157B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C07C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sastavljen</w:t>
      </w:r>
      <w:r w:rsidR="001919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su </w:t>
      </w:r>
      <w:r w:rsidRPr="00C07C4A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Financijski izvještaj</w:t>
      </w:r>
      <w:r w:rsidR="001919CB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C07C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razdoblje siječanj -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prosinac 20</w:t>
      </w:r>
      <w:r w:rsidR="00282AF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E95F80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8C0F1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godine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koji se sastoji od </w:t>
      </w:r>
      <w:r w:rsidRPr="00C07C4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Izvještaja o prihodima i rashodima, primicima i izdacima,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Bilance, Izvještaja o rashodima prema funkcijskoj klasifikaciji, Izvještaja o promjenama u vrijednosti i obujmu imovine i obveza, </w:t>
      </w:r>
      <w:r w:rsidRPr="00C07C4A"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Izvještaja o obvezama i ovih Bilješki</w:t>
      </w:r>
      <w:r w:rsidR="001919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uz financijske izvještaje</w:t>
      </w:r>
      <w:r w:rsidRPr="00C07C4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25A72" w:rsidRDefault="00025A72" w:rsidP="00144A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25A72" w:rsidRPr="00C07C4A" w:rsidRDefault="00025A72" w:rsidP="00144A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07C4A" w:rsidRDefault="00C07C4A" w:rsidP="00FD1D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6A5A" w:rsidRDefault="00D06A5A" w:rsidP="00FD1D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0F18" w:rsidRPr="00DE7872" w:rsidRDefault="008C0F18" w:rsidP="00FD1D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6784" w:rsidRPr="00DE7872" w:rsidRDefault="002E6784" w:rsidP="002E67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7872">
        <w:rPr>
          <w:rFonts w:ascii="Times New Roman" w:hAnsi="Times New Roman" w:cs="Times New Roman"/>
          <w:b/>
          <w:sz w:val="24"/>
          <w:szCs w:val="24"/>
        </w:rPr>
        <w:t xml:space="preserve">BILJEŠKE UZ BILANCU </w:t>
      </w:r>
    </w:p>
    <w:p w:rsidR="002E6784" w:rsidRPr="00DE7872" w:rsidRDefault="004E5EEF" w:rsidP="002E6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broj 1</w:t>
      </w:r>
    </w:p>
    <w:p w:rsidR="00490A3D" w:rsidRDefault="00490A3D" w:rsidP="00316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ED8" w:rsidRDefault="00490A3D" w:rsidP="00316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F34ED8">
        <w:rPr>
          <w:rFonts w:ascii="Times New Roman" w:hAnsi="Times New Roman" w:cs="Times New Roman"/>
          <w:sz w:val="24"/>
          <w:szCs w:val="24"/>
        </w:rPr>
        <w:t xml:space="preserve">bvezne Bilješke uz Bilancu </w:t>
      </w:r>
      <w:r>
        <w:rPr>
          <w:rFonts w:ascii="Times New Roman" w:hAnsi="Times New Roman" w:cs="Times New Roman"/>
          <w:sz w:val="24"/>
          <w:szCs w:val="24"/>
        </w:rPr>
        <w:t xml:space="preserve">iskazuju se </w:t>
      </w:r>
      <w:r w:rsidR="00F34ED8">
        <w:rPr>
          <w:rFonts w:ascii="Times New Roman" w:hAnsi="Times New Roman" w:cs="Times New Roman"/>
          <w:sz w:val="24"/>
          <w:szCs w:val="24"/>
        </w:rPr>
        <w:t xml:space="preserve">u </w:t>
      </w:r>
      <w:r w:rsidR="000C4E85">
        <w:rPr>
          <w:rFonts w:ascii="Times New Roman" w:hAnsi="Times New Roman" w:cs="Times New Roman"/>
          <w:sz w:val="24"/>
          <w:szCs w:val="24"/>
        </w:rPr>
        <w:t>tablicama</w:t>
      </w:r>
      <w:r w:rsidR="00515797">
        <w:rPr>
          <w:rFonts w:ascii="Times New Roman" w:hAnsi="Times New Roman" w:cs="Times New Roman"/>
          <w:sz w:val="24"/>
          <w:szCs w:val="24"/>
        </w:rPr>
        <w:t>.</w:t>
      </w:r>
    </w:p>
    <w:p w:rsidR="00F34ED8" w:rsidRDefault="00F34ED8" w:rsidP="00316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ED8" w:rsidRDefault="00F34ED8" w:rsidP="00316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ED8">
        <w:rPr>
          <w:rFonts w:ascii="Times New Roman" w:hAnsi="Times New Roman" w:cs="Times New Roman"/>
          <w:sz w:val="24"/>
          <w:szCs w:val="24"/>
        </w:rPr>
        <w:t>Tablica 1.: Popis ugovornih odnosa i slično koji uz ispunjenje određ</w:t>
      </w:r>
      <w:r w:rsidR="00BD0577">
        <w:rPr>
          <w:rFonts w:ascii="Times New Roman" w:hAnsi="Times New Roman" w:cs="Times New Roman"/>
          <w:sz w:val="24"/>
          <w:szCs w:val="24"/>
        </w:rPr>
        <w:t>enih uvjeta mogu postati obveza</w:t>
      </w:r>
      <w:r w:rsidRPr="00F34ED8">
        <w:rPr>
          <w:rFonts w:ascii="Times New Roman" w:hAnsi="Times New Roman" w:cs="Times New Roman"/>
          <w:sz w:val="24"/>
          <w:szCs w:val="24"/>
        </w:rPr>
        <w:t xml:space="preserve"> na dan 31. prosinca 20</w:t>
      </w:r>
      <w:r w:rsidR="00B1644D">
        <w:rPr>
          <w:rFonts w:ascii="Times New Roman" w:hAnsi="Times New Roman" w:cs="Times New Roman"/>
          <w:sz w:val="24"/>
          <w:szCs w:val="24"/>
        </w:rPr>
        <w:t>2</w:t>
      </w:r>
      <w:r w:rsidR="00E95F80">
        <w:rPr>
          <w:rFonts w:ascii="Times New Roman" w:hAnsi="Times New Roman" w:cs="Times New Roman"/>
          <w:sz w:val="24"/>
          <w:szCs w:val="24"/>
        </w:rPr>
        <w:t>3</w:t>
      </w:r>
      <w:r w:rsidRPr="00F34ED8">
        <w:rPr>
          <w:rFonts w:ascii="Times New Roman" w:hAnsi="Times New Roman" w:cs="Times New Roman"/>
          <w:sz w:val="24"/>
          <w:szCs w:val="24"/>
        </w:rPr>
        <w:t>. godine</w:t>
      </w:r>
    </w:p>
    <w:p w:rsidR="00F34ED8" w:rsidRDefault="00F34ED8" w:rsidP="00316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-176" w:type="dxa"/>
        <w:tblLook w:val="04A0" w:firstRow="1" w:lastRow="0" w:firstColumn="1" w:lastColumn="0" w:noHBand="0" w:noVBand="1"/>
      </w:tblPr>
      <w:tblGrid>
        <w:gridCol w:w="550"/>
        <w:gridCol w:w="1312"/>
        <w:gridCol w:w="1705"/>
        <w:gridCol w:w="1104"/>
        <w:gridCol w:w="1124"/>
        <w:gridCol w:w="938"/>
        <w:gridCol w:w="1061"/>
        <w:gridCol w:w="927"/>
        <w:gridCol w:w="1083"/>
      </w:tblGrid>
      <w:tr w:rsidR="00103C11" w:rsidRPr="007266DB" w:rsidTr="008C0F18">
        <w:tc>
          <w:tcPr>
            <w:tcW w:w="0" w:type="auto"/>
            <w:shd w:val="clear" w:color="auto" w:fill="D9D9D9" w:themeFill="background1" w:themeFillShade="D9"/>
          </w:tcPr>
          <w:p w:rsidR="00F34ED8" w:rsidRPr="007266DB" w:rsidRDefault="00F34ED8" w:rsidP="00515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66DB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103C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proofErr w:type="spellEnd"/>
            <w:r w:rsidR="00103C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F34ED8" w:rsidRPr="007266DB" w:rsidRDefault="00F34ED8" w:rsidP="00F3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6DB">
              <w:rPr>
                <w:rFonts w:ascii="Times New Roman" w:hAnsi="Times New Roman" w:cs="Times New Roman"/>
                <w:sz w:val="20"/>
                <w:szCs w:val="20"/>
              </w:rPr>
              <w:t xml:space="preserve">Datum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izdavanja</w:t>
            </w:r>
            <w:r w:rsidRPr="007266DB">
              <w:rPr>
                <w:rFonts w:ascii="Times New Roman" w:hAnsi="Times New Roman" w:cs="Times New Roman"/>
                <w:sz w:val="20"/>
                <w:szCs w:val="20"/>
              </w:rPr>
              <w:t xml:space="preserve"> jamstva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F34ED8" w:rsidRPr="007266DB" w:rsidRDefault="00F34ED8" w:rsidP="00515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Vrsta jamstva</w:t>
            </w:r>
            <w:r w:rsidRPr="007266DB">
              <w:rPr>
                <w:rFonts w:ascii="Times New Roman" w:hAnsi="Times New Roman" w:cs="Times New Roman"/>
                <w:sz w:val="20"/>
                <w:szCs w:val="20"/>
              </w:rPr>
              <w:t>/ instrumenta osiguranja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F34ED8" w:rsidRDefault="00F34ED8" w:rsidP="00F34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6DB">
              <w:rPr>
                <w:rFonts w:ascii="Times New Roman" w:hAnsi="Times New Roman" w:cs="Times New Roman"/>
                <w:sz w:val="20"/>
                <w:szCs w:val="20"/>
              </w:rPr>
              <w:t>Iznos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danog jamstva</w:t>
            </w:r>
          </w:p>
          <w:p w:rsidR="002F15DA" w:rsidRPr="007266DB" w:rsidRDefault="002F15DA" w:rsidP="00E95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(u </w:t>
            </w:r>
            <w:r w:rsidR="00E95F80">
              <w:rPr>
                <w:rFonts w:ascii="Times New Roman" w:hAnsi="Times New Roman" w:cs="Times New Roman"/>
                <w:sz w:val="20"/>
                <w:szCs w:val="20"/>
              </w:rPr>
              <w:t>eurima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F34ED8" w:rsidRPr="007266DB" w:rsidRDefault="00F34ED8" w:rsidP="00515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Primatelj</w:t>
            </w:r>
            <w:r w:rsidRPr="007266DB">
              <w:rPr>
                <w:rFonts w:ascii="Times New Roman" w:hAnsi="Times New Roman" w:cs="Times New Roman"/>
                <w:sz w:val="20"/>
                <w:szCs w:val="20"/>
              </w:rPr>
              <w:t xml:space="preserve"> jamstva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F34ED8" w:rsidRPr="007266DB" w:rsidRDefault="00F34ED8" w:rsidP="00515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6DB">
              <w:rPr>
                <w:rFonts w:ascii="Times New Roman" w:hAnsi="Times New Roman" w:cs="Times New Roman"/>
                <w:sz w:val="20"/>
                <w:szCs w:val="20"/>
              </w:rPr>
              <w:t>Namjena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F34ED8" w:rsidRPr="007266DB" w:rsidRDefault="00F34ED8" w:rsidP="00515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6DB">
              <w:rPr>
                <w:rFonts w:ascii="Times New Roman" w:hAnsi="Times New Roman" w:cs="Times New Roman"/>
                <w:sz w:val="20"/>
                <w:szCs w:val="20"/>
              </w:rPr>
              <w:t>Dokument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F34ED8" w:rsidRPr="007266DB" w:rsidRDefault="00F34ED8" w:rsidP="00515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6DB">
              <w:rPr>
                <w:rFonts w:ascii="Times New Roman" w:hAnsi="Times New Roman" w:cs="Times New Roman"/>
                <w:sz w:val="20"/>
                <w:szCs w:val="20"/>
              </w:rPr>
              <w:t>Rok važenja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F34ED8" w:rsidRPr="007266DB" w:rsidRDefault="00F34ED8" w:rsidP="00515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6DB">
              <w:rPr>
                <w:rFonts w:ascii="Times New Roman" w:hAnsi="Times New Roman" w:cs="Times New Roman"/>
                <w:sz w:val="20"/>
                <w:szCs w:val="20"/>
              </w:rPr>
              <w:t>Napomena</w:t>
            </w:r>
          </w:p>
        </w:tc>
      </w:tr>
      <w:tr w:rsidR="00F34ED8" w:rsidRPr="007266DB" w:rsidTr="008C0F18">
        <w:trPr>
          <w:trHeight w:val="480"/>
        </w:trPr>
        <w:tc>
          <w:tcPr>
            <w:tcW w:w="0" w:type="auto"/>
          </w:tcPr>
          <w:p w:rsidR="00F34ED8" w:rsidRPr="007266DB" w:rsidRDefault="00F34ED8" w:rsidP="00515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34ED8" w:rsidRPr="007266DB" w:rsidRDefault="00F34ED8" w:rsidP="00515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34ED8" w:rsidRPr="007266DB" w:rsidRDefault="00F34ED8" w:rsidP="00515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34ED8" w:rsidRDefault="00F34ED8" w:rsidP="005C3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F6C" w:rsidRPr="007266DB" w:rsidRDefault="005C3F6C" w:rsidP="005C3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:rsidR="00F34ED8" w:rsidRPr="007266DB" w:rsidRDefault="00F34ED8" w:rsidP="00515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34ED8" w:rsidRPr="007266DB" w:rsidRDefault="00F34ED8" w:rsidP="00515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34ED8" w:rsidRPr="007266DB" w:rsidRDefault="00F34ED8" w:rsidP="00515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34ED8" w:rsidRPr="007266DB" w:rsidRDefault="00F34ED8" w:rsidP="00515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34ED8" w:rsidRPr="007266DB" w:rsidRDefault="00F34ED8" w:rsidP="00515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7713" w:rsidRDefault="00AB7713" w:rsidP="00316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713" w:rsidRDefault="00AB7713" w:rsidP="00316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F18" w:rsidRDefault="008C0F18" w:rsidP="00316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ED8" w:rsidRDefault="00F34ED8" w:rsidP="00316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ED8">
        <w:rPr>
          <w:rFonts w:ascii="Times New Roman" w:hAnsi="Times New Roman" w:cs="Times New Roman"/>
          <w:sz w:val="24"/>
          <w:szCs w:val="24"/>
        </w:rPr>
        <w:t>Tablica 2.: Popis ugovornih odnosa i slično koji uz ispunjenje određe</w:t>
      </w:r>
      <w:r w:rsidR="00BB6163">
        <w:rPr>
          <w:rFonts w:ascii="Times New Roman" w:hAnsi="Times New Roman" w:cs="Times New Roman"/>
          <w:sz w:val="24"/>
          <w:szCs w:val="24"/>
        </w:rPr>
        <w:t>nih uvjeta mogu postati imovina</w:t>
      </w:r>
      <w:r w:rsidRPr="00F34ED8">
        <w:rPr>
          <w:rFonts w:ascii="Times New Roman" w:hAnsi="Times New Roman" w:cs="Times New Roman"/>
          <w:sz w:val="24"/>
          <w:szCs w:val="24"/>
        </w:rPr>
        <w:t xml:space="preserve"> na dan 31. prosinca 20</w:t>
      </w:r>
      <w:r w:rsidR="00B1644D">
        <w:rPr>
          <w:rFonts w:ascii="Times New Roman" w:hAnsi="Times New Roman" w:cs="Times New Roman"/>
          <w:sz w:val="24"/>
          <w:szCs w:val="24"/>
        </w:rPr>
        <w:t>2</w:t>
      </w:r>
      <w:r w:rsidR="00E95F80">
        <w:rPr>
          <w:rFonts w:ascii="Times New Roman" w:hAnsi="Times New Roman" w:cs="Times New Roman"/>
          <w:sz w:val="24"/>
          <w:szCs w:val="24"/>
        </w:rPr>
        <w:t>3</w:t>
      </w:r>
      <w:r w:rsidRPr="00F34ED8">
        <w:rPr>
          <w:rFonts w:ascii="Times New Roman" w:hAnsi="Times New Roman" w:cs="Times New Roman"/>
          <w:sz w:val="24"/>
          <w:szCs w:val="24"/>
        </w:rPr>
        <w:t>. godine</w:t>
      </w:r>
    </w:p>
    <w:p w:rsidR="00F34ED8" w:rsidRDefault="00F34ED8" w:rsidP="00316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50"/>
        <w:gridCol w:w="1081"/>
        <w:gridCol w:w="1191"/>
        <w:gridCol w:w="1111"/>
        <w:gridCol w:w="1104"/>
        <w:gridCol w:w="969"/>
        <w:gridCol w:w="1088"/>
        <w:gridCol w:w="1866"/>
        <w:gridCol w:w="844"/>
      </w:tblGrid>
      <w:tr w:rsidR="00103C11" w:rsidRPr="007266DB" w:rsidTr="002F15DA">
        <w:tc>
          <w:tcPr>
            <w:tcW w:w="550" w:type="dxa"/>
            <w:shd w:val="clear" w:color="auto" w:fill="D9D9D9" w:themeFill="background1" w:themeFillShade="D9"/>
          </w:tcPr>
          <w:p w:rsidR="007266DB" w:rsidRPr="007266DB" w:rsidRDefault="007266DB" w:rsidP="00726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66DB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103C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proofErr w:type="spellEnd"/>
            <w:r w:rsidR="00103C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81" w:type="dxa"/>
            <w:shd w:val="clear" w:color="auto" w:fill="D9D9D9" w:themeFill="background1" w:themeFillShade="D9"/>
          </w:tcPr>
          <w:p w:rsidR="007266DB" w:rsidRPr="007266DB" w:rsidRDefault="007266DB" w:rsidP="00726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6DB">
              <w:rPr>
                <w:rFonts w:ascii="Times New Roman" w:hAnsi="Times New Roman" w:cs="Times New Roman"/>
                <w:sz w:val="20"/>
                <w:szCs w:val="20"/>
              </w:rPr>
              <w:t>Datum primanja jamstva</w:t>
            </w:r>
          </w:p>
        </w:tc>
        <w:tc>
          <w:tcPr>
            <w:tcW w:w="1191" w:type="dxa"/>
            <w:shd w:val="clear" w:color="auto" w:fill="D9D9D9" w:themeFill="background1" w:themeFillShade="D9"/>
          </w:tcPr>
          <w:p w:rsidR="007266DB" w:rsidRPr="007266DB" w:rsidRDefault="007266DB" w:rsidP="00726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Vrsta jamstva</w:t>
            </w:r>
            <w:r w:rsidRPr="007266DB">
              <w:rPr>
                <w:rFonts w:ascii="Times New Roman" w:hAnsi="Times New Roman" w:cs="Times New Roman"/>
                <w:sz w:val="20"/>
                <w:szCs w:val="20"/>
              </w:rPr>
              <w:t>/ instrumenta osiguranja</w:t>
            </w:r>
          </w:p>
        </w:tc>
        <w:tc>
          <w:tcPr>
            <w:tcW w:w="1111" w:type="dxa"/>
            <w:shd w:val="clear" w:color="auto" w:fill="D9D9D9" w:themeFill="background1" w:themeFillShade="D9"/>
          </w:tcPr>
          <w:p w:rsidR="007266DB" w:rsidRDefault="007266DB" w:rsidP="00726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6DB">
              <w:rPr>
                <w:rFonts w:ascii="Times New Roman" w:hAnsi="Times New Roman" w:cs="Times New Roman"/>
                <w:sz w:val="20"/>
                <w:szCs w:val="20"/>
              </w:rPr>
              <w:t>Iznos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primljenog jamstva</w:t>
            </w:r>
          </w:p>
          <w:p w:rsidR="002F15DA" w:rsidRPr="007266DB" w:rsidRDefault="002F15DA" w:rsidP="00E95F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(u </w:t>
            </w:r>
            <w:r w:rsidR="00E95F80">
              <w:rPr>
                <w:rFonts w:ascii="Times New Roman" w:hAnsi="Times New Roman" w:cs="Times New Roman"/>
                <w:sz w:val="20"/>
                <w:szCs w:val="20"/>
              </w:rPr>
              <w:t>eurima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04" w:type="dxa"/>
            <w:shd w:val="clear" w:color="auto" w:fill="D9D9D9" w:themeFill="background1" w:themeFillShade="D9"/>
          </w:tcPr>
          <w:p w:rsidR="007266DB" w:rsidRPr="007266DB" w:rsidRDefault="007266DB" w:rsidP="00726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6DB">
              <w:rPr>
                <w:rFonts w:ascii="Times New Roman" w:hAnsi="Times New Roman" w:cs="Times New Roman"/>
                <w:sz w:val="20"/>
                <w:szCs w:val="20"/>
              </w:rPr>
              <w:t>Davatelj jamstva</w:t>
            </w:r>
          </w:p>
        </w:tc>
        <w:tc>
          <w:tcPr>
            <w:tcW w:w="969" w:type="dxa"/>
            <w:shd w:val="clear" w:color="auto" w:fill="D9D9D9" w:themeFill="background1" w:themeFillShade="D9"/>
          </w:tcPr>
          <w:p w:rsidR="007266DB" w:rsidRPr="007266DB" w:rsidRDefault="007266DB" w:rsidP="00726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6DB">
              <w:rPr>
                <w:rFonts w:ascii="Times New Roman" w:hAnsi="Times New Roman" w:cs="Times New Roman"/>
                <w:sz w:val="20"/>
                <w:szCs w:val="20"/>
              </w:rPr>
              <w:t>Namjena</w:t>
            </w:r>
          </w:p>
        </w:tc>
        <w:tc>
          <w:tcPr>
            <w:tcW w:w="1088" w:type="dxa"/>
            <w:shd w:val="clear" w:color="auto" w:fill="D9D9D9" w:themeFill="background1" w:themeFillShade="D9"/>
          </w:tcPr>
          <w:p w:rsidR="007266DB" w:rsidRPr="007266DB" w:rsidRDefault="007266DB" w:rsidP="00726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6DB">
              <w:rPr>
                <w:rFonts w:ascii="Times New Roman" w:hAnsi="Times New Roman" w:cs="Times New Roman"/>
                <w:sz w:val="20"/>
                <w:szCs w:val="20"/>
              </w:rPr>
              <w:t>Dokument</w:t>
            </w:r>
          </w:p>
        </w:tc>
        <w:tc>
          <w:tcPr>
            <w:tcW w:w="1866" w:type="dxa"/>
            <w:shd w:val="clear" w:color="auto" w:fill="D9D9D9" w:themeFill="background1" w:themeFillShade="D9"/>
          </w:tcPr>
          <w:p w:rsidR="007266DB" w:rsidRPr="007266DB" w:rsidRDefault="007266DB" w:rsidP="00726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6DB">
              <w:rPr>
                <w:rFonts w:ascii="Times New Roman" w:hAnsi="Times New Roman" w:cs="Times New Roman"/>
                <w:sz w:val="20"/>
                <w:szCs w:val="20"/>
              </w:rPr>
              <w:t>Rok važenja</w:t>
            </w:r>
          </w:p>
        </w:tc>
        <w:tc>
          <w:tcPr>
            <w:tcW w:w="844" w:type="dxa"/>
            <w:shd w:val="clear" w:color="auto" w:fill="D9D9D9" w:themeFill="background1" w:themeFillShade="D9"/>
          </w:tcPr>
          <w:p w:rsidR="007266DB" w:rsidRPr="007266DB" w:rsidRDefault="007266DB" w:rsidP="007266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6DB">
              <w:rPr>
                <w:rFonts w:ascii="Times New Roman" w:hAnsi="Times New Roman" w:cs="Times New Roman"/>
                <w:sz w:val="20"/>
                <w:szCs w:val="20"/>
              </w:rPr>
              <w:t>Napomena</w:t>
            </w:r>
          </w:p>
        </w:tc>
      </w:tr>
      <w:tr w:rsidR="00EB58CF" w:rsidRPr="00EB58CF" w:rsidTr="002F15DA">
        <w:trPr>
          <w:trHeight w:val="930"/>
        </w:trPr>
        <w:tc>
          <w:tcPr>
            <w:tcW w:w="550" w:type="dxa"/>
            <w:tcBorders>
              <w:bottom w:val="single" w:sz="4" w:space="0" w:color="auto"/>
            </w:tcBorders>
          </w:tcPr>
          <w:p w:rsidR="007266DB" w:rsidRPr="008C0F18" w:rsidRDefault="007266DB" w:rsidP="00F34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7266DB" w:rsidRPr="008C0F18" w:rsidRDefault="007266DB" w:rsidP="00F34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7266DB" w:rsidRPr="008C0F18" w:rsidRDefault="007266DB" w:rsidP="00F34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7266DB" w:rsidRDefault="007266DB" w:rsidP="005C3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F6C" w:rsidRDefault="005C3F6C" w:rsidP="005C3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F6C" w:rsidRDefault="005C3F6C" w:rsidP="005C3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F6C" w:rsidRPr="008C0F18" w:rsidRDefault="005C3F6C" w:rsidP="005C3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7266DB" w:rsidRPr="008C0F18" w:rsidRDefault="007266DB" w:rsidP="00F34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:rsidR="007266DB" w:rsidRPr="008C0F18" w:rsidRDefault="007266DB" w:rsidP="00F34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7266DB" w:rsidRPr="008C0F18" w:rsidRDefault="007266DB" w:rsidP="00F34E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bottom w:val="single" w:sz="4" w:space="0" w:color="auto"/>
            </w:tcBorders>
          </w:tcPr>
          <w:p w:rsidR="007266DB" w:rsidRPr="007A4306" w:rsidRDefault="007266DB" w:rsidP="00F34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7266DB" w:rsidRPr="00EB58CF" w:rsidRDefault="007266DB" w:rsidP="00F34ED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C0F18" w:rsidRPr="007266DB" w:rsidTr="002F15DA"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F18" w:rsidRDefault="008C0F18" w:rsidP="008C0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F18" w:rsidRDefault="008C0F18" w:rsidP="008C0F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F18" w:rsidRPr="00EB6458" w:rsidRDefault="008C0F18" w:rsidP="008C0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F18" w:rsidRPr="00EB6458" w:rsidRDefault="008C0F18" w:rsidP="008C0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F18" w:rsidRPr="00EB6458" w:rsidRDefault="008C0F18" w:rsidP="008C0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F18" w:rsidRPr="00EB6458" w:rsidRDefault="008C0F18" w:rsidP="008C0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F18" w:rsidRPr="00EB58CF" w:rsidRDefault="008C0F18" w:rsidP="008C0F1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F18" w:rsidRPr="007266DB" w:rsidRDefault="008C0F18" w:rsidP="008C0F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F18" w:rsidRPr="003957D9" w:rsidRDefault="008C0F18" w:rsidP="008C0F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309A8" w:rsidRDefault="002309A8" w:rsidP="00316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A72" w:rsidRDefault="00025A72" w:rsidP="00316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A72" w:rsidRDefault="00025A72" w:rsidP="00316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A72" w:rsidRDefault="00025A72" w:rsidP="00316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A72" w:rsidRDefault="00025A72" w:rsidP="00316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A72" w:rsidRDefault="00025A72" w:rsidP="00316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A72" w:rsidRDefault="00025A72" w:rsidP="00316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A72" w:rsidRDefault="00025A72" w:rsidP="00316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A72" w:rsidRDefault="00025A72" w:rsidP="00316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3E85" w:rsidRDefault="00BF3E85" w:rsidP="003162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C05" w:rsidRPr="0047181E" w:rsidRDefault="00F70953" w:rsidP="002E6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34ED8" w:rsidRPr="0047181E">
        <w:rPr>
          <w:rFonts w:ascii="Times New Roman" w:hAnsi="Times New Roman" w:cs="Times New Roman"/>
          <w:sz w:val="24"/>
          <w:szCs w:val="24"/>
        </w:rPr>
        <w:t>ablica 3.: Popis sudskih sporova u tijeku na dan 31. prosinca 20</w:t>
      </w:r>
      <w:r w:rsidR="00EC11A7" w:rsidRPr="0047181E">
        <w:rPr>
          <w:rFonts w:ascii="Times New Roman" w:hAnsi="Times New Roman" w:cs="Times New Roman"/>
          <w:sz w:val="24"/>
          <w:szCs w:val="24"/>
        </w:rPr>
        <w:t>2</w:t>
      </w:r>
      <w:r w:rsidR="00E95F80">
        <w:rPr>
          <w:rFonts w:ascii="Times New Roman" w:hAnsi="Times New Roman" w:cs="Times New Roman"/>
          <w:sz w:val="24"/>
          <w:szCs w:val="24"/>
        </w:rPr>
        <w:t>3</w:t>
      </w:r>
      <w:r w:rsidR="00F34ED8" w:rsidRPr="0047181E">
        <w:rPr>
          <w:rFonts w:ascii="Times New Roman" w:hAnsi="Times New Roman" w:cs="Times New Roman"/>
          <w:sz w:val="24"/>
          <w:szCs w:val="24"/>
        </w:rPr>
        <w:t>. godine</w:t>
      </w:r>
    </w:p>
    <w:p w:rsidR="00EC11A7" w:rsidRPr="0047181E" w:rsidRDefault="00EC11A7" w:rsidP="002E6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564" w:rsidRDefault="005C3F6C" w:rsidP="002E6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na dan 31.12.202</w:t>
      </w:r>
      <w:r w:rsidR="00E95F8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nema evidentiranih sudskih sporova u tijeku.(evidentirano kao </w:t>
      </w:r>
      <w:proofErr w:type="spellStart"/>
      <w:r>
        <w:rPr>
          <w:rFonts w:ascii="Times New Roman" w:hAnsi="Times New Roman" w:cs="Times New Roman"/>
          <w:sz w:val="24"/>
          <w:szCs w:val="24"/>
        </w:rPr>
        <w:t>izvanbilančni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zapisi na podskupinama 991/996)</w:t>
      </w:r>
    </w:p>
    <w:p w:rsidR="005C3F6C" w:rsidRDefault="005C3F6C" w:rsidP="002E6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279" w:type="dxa"/>
        <w:tblLook w:val="04A0" w:firstRow="1" w:lastRow="0" w:firstColumn="1" w:lastColumn="0" w:noHBand="0" w:noVBand="1"/>
      </w:tblPr>
      <w:tblGrid>
        <w:gridCol w:w="583"/>
        <w:gridCol w:w="937"/>
        <w:gridCol w:w="901"/>
        <w:gridCol w:w="852"/>
        <w:gridCol w:w="1112"/>
        <w:gridCol w:w="1529"/>
        <w:gridCol w:w="1328"/>
        <w:gridCol w:w="938"/>
        <w:gridCol w:w="1169"/>
      </w:tblGrid>
      <w:tr w:rsidR="00574221" w:rsidRPr="00574221" w:rsidTr="005C3F6C">
        <w:tc>
          <w:tcPr>
            <w:tcW w:w="304" w:type="dxa"/>
            <w:shd w:val="clear" w:color="auto" w:fill="D9D9D9" w:themeFill="background1" w:themeFillShade="D9"/>
          </w:tcPr>
          <w:p w:rsidR="00B45564" w:rsidRPr="00574221" w:rsidRDefault="00B45564" w:rsidP="00F0579D">
            <w:pPr>
              <w:rPr>
                <w:rFonts w:ascii="Times New Roman" w:hAnsi="Times New Roman" w:cs="Times New Roman"/>
              </w:rPr>
            </w:pPr>
            <w:proofErr w:type="spellStart"/>
            <w:r w:rsidRPr="00574221">
              <w:rPr>
                <w:rFonts w:ascii="Times New Roman" w:hAnsi="Times New Roman" w:cs="Times New Roman"/>
              </w:rPr>
              <w:t>R.b</w:t>
            </w:r>
            <w:proofErr w:type="spellEnd"/>
            <w:r w:rsidRPr="005742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45564" w:rsidRPr="00574221" w:rsidRDefault="00B45564" w:rsidP="00F0579D">
            <w:pPr>
              <w:rPr>
                <w:rFonts w:ascii="Times New Roman" w:hAnsi="Times New Roman" w:cs="Times New Roman"/>
              </w:rPr>
            </w:pPr>
            <w:r w:rsidRPr="00574221">
              <w:rPr>
                <w:rFonts w:ascii="Times New Roman" w:hAnsi="Times New Roman" w:cs="Times New Roman"/>
              </w:rPr>
              <w:t>Tuženik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45564" w:rsidRPr="00574221" w:rsidRDefault="00B45564" w:rsidP="00F0579D">
            <w:pPr>
              <w:rPr>
                <w:rFonts w:ascii="Times New Roman" w:hAnsi="Times New Roman" w:cs="Times New Roman"/>
              </w:rPr>
            </w:pPr>
            <w:r w:rsidRPr="00574221">
              <w:rPr>
                <w:rFonts w:ascii="Times New Roman" w:hAnsi="Times New Roman" w:cs="Times New Roman"/>
              </w:rPr>
              <w:t>Tužitelj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45564" w:rsidRPr="00574221" w:rsidRDefault="00B45564" w:rsidP="00F0579D">
            <w:pPr>
              <w:rPr>
                <w:rFonts w:ascii="Times New Roman" w:hAnsi="Times New Roman" w:cs="Times New Roman"/>
              </w:rPr>
            </w:pPr>
            <w:r w:rsidRPr="00574221">
              <w:rPr>
                <w:rFonts w:ascii="Times New Roman" w:hAnsi="Times New Roman" w:cs="Times New Roman"/>
              </w:rPr>
              <w:t>Sažeti opis prirode spora</w:t>
            </w:r>
          </w:p>
        </w:tc>
        <w:tc>
          <w:tcPr>
            <w:tcW w:w="1488" w:type="dxa"/>
            <w:shd w:val="clear" w:color="auto" w:fill="D9D9D9" w:themeFill="background1" w:themeFillShade="D9"/>
          </w:tcPr>
          <w:p w:rsidR="00F0579D" w:rsidRPr="00574221" w:rsidRDefault="00B45564" w:rsidP="00F0579D">
            <w:pPr>
              <w:rPr>
                <w:rFonts w:ascii="Times New Roman" w:hAnsi="Times New Roman" w:cs="Times New Roman"/>
              </w:rPr>
            </w:pPr>
            <w:r w:rsidRPr="00574221">
              <w:rPr>
                <w:rFonts w:ascii="Times New Roman" w:hAnsi="Times New Roman" w:cs="Times New Roman"/>
              </w:rPr>
              <w:t xml:space="preserve">Iznos glavnice </w:t>
            </w:r>
          </w:p>
          <w:p w:rsidR="00B45564" w:rsidRPr="00574221" w:rsidRDefault="00B45564" w:rsidP="00FA0CC9">
            <w:pPr>
              <w:rPr>
                <w:rFonts w:ascii="Times New Roman" w:hAnsi="Times New Roman" w:cs="Times New Roman"/>
              </w:rPr>
            </w:pPr>
            <w:r w:rsidRPr="00574221">
              <w:rPr>
                <w:rFonts w:ascii="Times New Roman" w:hAnsi="Times New Roman" w:cs="Times New Roman"/>
              </w:rPr>
              <w:t xml:space="preserve">(u </w:t>
            </w:r>
            <w:r w:rsidR="00FA0CC9">
              <w:rPr>
                <w:rFonts w:ascii="Times New Roman" w:hAnsi="Times New Roman" w:cs="Times New Roman"/>
              </w:rPr>
              <w:t>eurima</w:t>
            </w:r>
            <w:r w:rsidRPr="0057422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89" w:type="dxa"/>
            <w:shd w:val="clear" w:color="auto" w:fill="D9D9D9" w:themeFill="background1" w:themeFillShade="D9"/>
          </w:tcPr>
          <w:p w:rsidR="00F0579D" w:rsidRPr="00574221" w:rsidRDefault="00B45564" w:rsidP="00F0579D">
            <w:pPr>
              <w:rPr>
                <w:rFonts w:ascii="Times New Roman" w:hAnsi="Times New Roman" w:cs="Times New Roman"/>
              </w:rPr>
            </w:pPr>
            <w:r w:rsidRPr="00574221">
              <w:rPr>
                <w:rFonts w:ascii="Times New Roman" w:hAnsi="Times New Roman" w:cs="Times New Roman"/>
              </w:rPr>
              <w:t>Procjena financijskog učinka koji može proisteći iz sudskog spora kao obveza ili imovina</w:t>
            </w:r>
            <w:r w:rsidR="00F0579D" w:rsidRPr="00574221">
              <w:rPr>
                <w:rFonts w:ascii="Times New Roman" w:hAnsi="Times New Roman" w:cs="Times New Roman"/>
              </w:rPr>
              <w:t xml:space="preserve"> </w:t>
            </w:r>
          </w:p>
          <w:p w:rsidR="00B45564" w:rsidRPr="00574221" w:rsidRDefault="00F0579D" w:rsidP="00E95F80">
            <w:pPr>
              <w:rPr>
                <w:rFonts w:ascii="Times New Roman" w:hAnsi="Times New Roman" w:cs="Times New Roman"/>
              </w:rPr>
            </w:pPr>
            <w:r w:rsidRPr="00574221">
              <w:rPr>
                <w:rFonts w:ascii="Times New Roman" w:hAnsi="Times New Roman" w:cs="Times New Roman"/>
              </w:rPr>
              <w:t xml:space="preserve">(u </w:t>
            </w:r>
            <w:r w:rsidR="00E95F80">
              <w:rPr>
                <w:rFonts w:ascii="Times New Roman" w:hAnsi="Times New Roman" w:cs="Times New Roman"/>
              </w:rPr>
              <w:t>eurima</w:t>
            </w:r>
            <w:r w:rsidRPr="0057422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45564" w:rsidRPr="00574221" w:rsidRDefault="00B45564" w:rsidP="00F0579D">
            <w:pPr>
              <w:rPr>
                <w:rFonts w:ascii="Times New Roman" w:hAnsi="Times New Roman" w:cs="Times New Roman"/>
              </w:rPr>
            </w:pPr>
            <w:r w:rsidRPr="00574221">
              <w:rPr>
                <w:rFonts w:ascii="Times New Roman" w:hAnsi="Times New Roman" w:cs="Times New Roman"/>
              </w:rPr>
              <w:t>Procijenjeno vrijeme odljeva ili priljeva sredstava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45564" w:rsidRPr="00574221" w:rsidRDefault="00B45564" w:rsidP="00F0579D">
            <w:pPr>
              <w:rPr>
                <w:rFonts w:ascii="Times New Roman" w:hAnsi="Times New Roman" w:cs="Times New Roman"/>
              </w:rPr>
            </w:pPr>
            <w:r w:rsidRPr="00574221">
              <w:rPr>
                <w:rFonts w:ascii="Times New Roman" w:hAnsi="Times New Roman" w:cs="Times New Roman"/>
              </w:rPr>
              <w:t>Početak sudskog spora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B45564" w:rsidRPr="00574221" w:rsidRDefault="00B45564" w:rsidP="00F0579D">
            <w:pPr>
              <w:rPr>
                <w:rFonts w:ascii="Times New Roman" w:hAnsi="Times New Roman" w:cs="Times New Roman"/>
              </w:rPr>
            </w:pPr>
            <w:r w:rsidRPr="00574221">
              <w:rPr>
                <w:rFonts w:ascii="Times New Roman" w:hAnsi="Times New Roman" w:cs="Times New Roman"/>
              </w:rPr>
              <w:t>Napomena</w:t>
            </w:r>
          </w:p>
        </w:tc>
      </w:tr>
      <w:tr w:rsidR="00F0579D" w:rsidRPr="00574221" w:rsidTr="005C3F6C">
        <w:tc>
          <w:tcPr>
            <w:tcW w:w="304" w:type="dxa"/>
          </w:tcPr>
          <w:p w:rsidR="00B45564" w:rsidRPr="00574221" w:rsidRDefault="00B45564" w:rsidP="00574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45564" w:rsidRPr="00574221" w:rsidRDefault="00B45564" w:rsidP="00574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45564" w:rsidRPr="00574221" w:rsidRDefault="00B45564" w:rsidP="00574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45564" w:rsidRPr="00574221" w:rsidRDefault="00B45564" w:rsidP="00574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</w:tcPr>
          <w:p w:rsidR="00B45564" w:rsidRPr="00574221" w:rsidRDefault="00B45564" w:rsidP="005742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</w:tcPr>
          <w:p w:rsidR="00B45564" w:rsidRPr="00574221" w:rsidRDefault="00B45564" w:rsidP="005742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45564" w:rsidRPr="00574221" w:rsidRDefault="00B45564" w:rsidP="00574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45564" w:rsidRPr="00574221" w:rsidRDefault="00B45564" w:rsidP="002E678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45564" w:rsidRPr="00574221" w:rsidRDefault="00B45564" w:rsidP="002E67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0579D" w:rsidRPr="00574221" w:rsidTr="005C3F6C">
        <w:tc>
          <w:tcPr>
            <w:tcW w:w="304" w:type="dxa"/>
            <w:tcBorders>
              <w:bottom w:val="single" w:sz="4" w:space="0" w:color="auto"/>
            </w:tcBorders>
          </w:tcPr>
          <w:p w:rsidR="00B45564" w:rsidRPr="00574221" w:rsidRDefault="00B45564" w:rsidP="00574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45564" w:rsidRPr="00574221" w:rsidRDefault="00B45564" w:rsidP="00574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45564" w:rsidRPr="00574221" w:rsidRDefault="00B45564" w:rsidP="00574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45564" w:rsidRPr="00574221" w:rsidRDefault="00B45564" w:rsidP="005742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B45564" w:rsidRPr="00574221" w:rsidRDefault="005C3F6C" w:rsidP="0057422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B45564" w:rsidRPr="00574221" w:rsidRDefault="005C3F6C" w:rsidP="0057422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45564" w:rsidRPr="00574221" w:rsidRDefault="00B45564" w:rsidP="005742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45564" w:rsidRPr="00574221" w:rsidRDefault="00B45564" w:rsidP="00B455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45564" w:rsidRPr="00574221" w:rsidRDefault="00B45564" w:rsidP="00B455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4221" w:rsidRPr="00574221" w:rsidTr="005C3F6C">
        <w:trPr>
          <w:trHeight w:val="517"/>
        </w:trPr>
        <w:tc>
          <w:tcPr>
            <w:tcW w:w="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221" w:rsidRPr="00574221" w:rsidRDefault="00574221" w:rsidP="00B455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221" w:rsidRPr="00574221" w:rsidRDefault="00574221" w:rsidP="00B455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221" w:rsidRPr="00574221" w:rsidRDefault="00574221" w:rsidP="00B455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221" w:rsidRPr="00574221" w:rsidRDefault="00574221" w:rsidP="00B455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221" w:rsidRPr="00574221" w:rsidRDefault="00574221" w:rsidP="005742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221" w:rsidRPr="00574221" w:rsidRDefault="00574221" w:rsidP="0057422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221" w:rsidRPr="00574221" w:rsidRDefault="00574221" w:rsidP="00B455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221" w:rsidRPr="00574221" w:rsidRDefault="00574221" w:rsidP="00B4556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221" w:rsidRPr="00574221" w:rsidRDefault="00574221" w:rsidP="00B4556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45564" w:rsidRDefault="00B45564" w:rsidP="002E6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1A7" w:rsidRDefault="00EC11A7">
      <w:pPr>
        <w:rPr>
          <w:rFonts w:ascii="Times New Roman" w:hAnsi="Times New Roman" w:cs="Times New Roman"/>
          <w:sz w:val="24"/>
          <w:szCs w:val="24"/>
        </w:rPr>
        <w:sectPr w:rsidR="00EC11A7" w:rsidSect="00591F57">
          <w:footerReference w:type="default" r:id="rId8"/>
          <w:pgSz w:w="11906" w:h="16838" w:code="9"/>
          <w:pgMar w:top="1418" w:right="1134" w:bottom="1418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E6784" w:rsidRDefault="004E5EEF" w:rsidP="002E67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Bilješka broj 2</w:t>
      </w:r>
    </w:p>
    <w:p w:rsidR="0019565B" w:rsidRDefault="002C0C32" w:rsidP="002C0C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Š</w:t>
      </w:r>
      <w:r w:rsidR="00DD119B" w:rsidRPr="002C0C32">
        <w:rPr>
          <w:rFonts w:ascii="Times New Roman" w:hAnsi="Times New Roman" w:cs="Times New Roman"/>
          <w:color w:val="000000" w:themeColor="text1"/>
          <w:sz w:val="24"/>
          <w:szCs w:val="24"/>
        </w:rPr>
        <w:t>ifra</w:t>
      </w:r>
      <w:r w:rsidR="00801FB0" w:rsidRPr="002C0C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022</w:t>
      </w:r>
      <w:r w:rsidR="00F70953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801FB0" w:rsidRPr="002C0C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F70953">
        <w:rPr>
          <w:rFonts w:ascii="Times New Roman" w:hAnsi="Times New Roman" w:cs="Times New Roman"/>
          <w:color w:val="000000" w:themeColor="text1"/>
          <w:sz w:val="24"/>
          <w:szCs w:val="24"/>
        </w:rPr>
        <w:t>Uređaji, strojevi i oprema za ostale namjene</w:t>
      </w:r>
      <w:r w:rsidR="003B3BAF" w:rsidRPr="002C0C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801FB0" w:rsidRPr="002C0C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iskazano je povećanje za </w:t>
      </w:r>
      <w:r w:rsidR="002D4DB7">
        <w:rPr>
          <w:rFonts w:ascii="Times New Roman" w:hAnsi="Times New Roman" w:cs="Times New Roman"/>
          <w:color w:val="000000" w:themeColor="text1"/>
          <w:sz w:val="24"/>
          <w:szCs w:val="24"/>
        </w:rPr>
        <w:t>55</w:t>
      </w:r>
      <w:r w:rsidR="00F709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1FB0" w:rsidRPr="002C0C32">
        <w:rPr>
          <w:rFonts w:ascii="Times New Roman" w:hAnsi="Times New Roman" w:cs="Times New Roman"/>
          <w:color w:val="000000" w:themeColor="text1"/>
          <w:sz w:val="24"/>
          <w:szCs w:val="24"/>
        </w:rPr>
        <w:t>% radi nabave</w:t>
      </w:r>
      <w:r w:rsidR="00D5646A" w:rsidRPr="002C0C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4D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 </w:t>
      </w:r>
      <w:r w:rsidR="00D16A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klima uređaja, </w:t>
      </w:r>
      <w:r w:rsidR="002D4DB7">
        <w:rPr>
          <w:rFonts w:ascii="Times New Roman" w:hAnsi="Times New Roman" w:cs="Times New Roman"/>
          <w:color w:val="000000" w:themeColor="text1"/>
          <w:sz w:val="24"/>
          <w:szCs w:val="24"/>
        </w:rPr>
        <w:t>opreme za školsku učionicu</w:t>
      </w:r>
      <w:r w:rsidR="00FE644C">
        <w:rPr>
          <w:rFonts w:ascii="Times New Roman" w:hAnsi="Times New Roman" w:cs="Times New Roman"/>
          <w:color w:val="000000" w:themeColor="text1"/>
          <w:sz w:val="24"/>
          <w:szCs w:val="24"/>
        </w:rPr>
        <w:t>, od prodaje zemljišta</w:t>
      </w:r>
      <w:r w:rsidR="00F709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01FB0" w:rsidRDefault="00801FB0" w:rsidP="002C0C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0C32" w:rsidRPr="002C0C32" w:rsidRDefault="002C0C32" w:rsidP="002C0C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0D12" w:rsidRDefault="00130D12" w:rsidP="00130D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Bilješka broj 3</w:t>
      </w:r>
    </w:p>
    <w:p w:rsidR="00130D12" w:rsidRDefault="00D70D7F" w:rsidP="00130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Šifra</w:t>
      </w:r>
      <w:r w:rsidR="00130D12" w:rsidRPr="00F40D95">
        <w:rPr>
          <w:rFonts w:ascii="Times New Roman" w:hAnsi="Times New Roman" w:cs="Times New Roman"/>
          <w:sz w:val="24"/>
          <w:szCs w:val="24"/>
        </w:rPr>
        <w:t xml:space="preserve"> 0</w:t>
      </w:r>
      <w:r w:rsidR="003B3BAF">
        <w:rPr>
          <w:rFonts w:ascii="Times New Roman" w:hAnsi="Times New Roman" w:cs="Times New Roman"/>
          <w:sz w:val="24"/>
          <w:szCs w:val="24"/>
        </w:rPr>
        <w:t>24</w:t>
      </w:r>
      <w:r w:rsidR="00D16ACF">
        <w:rPr>
          <w:rFonts w:ascii="Times New Roman" w:hAnsi="Times New Roman" w:cs="Times New Roman"/>
          <w:sz w:val="24"/>
          <w:szCs w:val="24"/>
        </w:rPr>
        <w:t>1</w:t>
      </w:r>
      <w:r w:rsidR="00130D12" w:rsidRPr="00F40D95">
        <w:rPr>
          <w:rFonts w:ascii="Times New Roman" w:hAnsi="Times New Roman" w:cs="Times New Roman"/>
          <w:sz w:val="24"/>
          <w:szCs w:val="24"/>
        </w:rPr>
        <w:t xml:space="preserve"> – </w:t>
      </w:r>
      <w:r w:rsidR="00130D12">
        <w:rPr>
          <w:rFonts w:ascii="Times New Roman" w:hAnsi="Times New Roman" w:cs="Times New Roman"/>
          <w:sz w:val="24"/>
          <w:szCs w:val="24"/>
        </w:rPr>
        <w:t>Knjige</w:t>
      </w:r>
      <w:r w:rsidR="00130D12" w:rsidRPr="00F40D95">
        <w:rPr>
          <w:rFonts w:ascii="Times New Roman" w:hAnsi="Times New Roman" w:cs="Times New Roman"/>
          <w:sz w:val="24"/>
          <w:szCs w:val="24"/>
        </w:rPr>
        <w:t xml:space="preserve"> – sadašnja vrijednost </w:t>
      </w:r>
      <w:r w:rsidR="00130D12">
        <w:rPr>
          <w:rFonts w:ascii="Times New Roman" w:hAnsi="Times New Roman" w:cs="Times New Roman"/>
          <w:sz w:val="24"/>
          <w:szCs w:val="24"/>
        </w:rPr>
        <w:t>knjiga</w:t>
      </w:r>
      <w:r w:rsidR="00130D12" w:rsidRPr="00F40D95">
        <w:rPr>
          <w:rFonts w:ascii="Times New Roman" w:hAnsi="Times New Roman" w:cs="Times New Roman"/>
          <w:sz w:val="24"/>
          <w:szCs w:val="24"/>
        </w:rPr>
        <w:t xml:space="preserve"> na kraju 20</w:t>
      </w:r>
      <w:r w:rsidR="00C21400">
        <w:rPr>
          <w:rFonts w:ascii="Times New Roman" w:hAnsi="Times New Roman" w:cs="Times New Roman"/>
          <w:sz w:val="24"/>
          <w:szCs w:val="24"/>
        </w:rPr>
        <w:t>2</w:t>
      </w:r>
      <w:r w:rsidR="002D4DB7">
        <w:rPr>
          <w:rFonts w:ascii="Times New Roman" w:hAnsi="Times New Roman" w:cs="Times New Roman"/>
          <w:sz w:val="24"/>
          <w:szCs w:val="24"/>
        </w:rPr>
        <w:t>3</w:t>
      </w:r>
      <w:r w:rsidR="00130D12" w:rsidRPr="00F40D95">
        <w:rPr>
          <w:rFonts w:ascii="Times New Roman" w:hAnsi="Times New Roman" w:cs="Times New Roman"/>
          <w:sz w:val="24"/>
          <w:szCs w:val="24"/>
        </w:rPr>
        <w:t xml:space="preserve">. godine je za </w:t>
      </w:r>
      <w:r w:rsidR="00D16ACF">
        <w:rPr>
          <w:rFonts w:ascii="Times New Roman" w:hAnsi="Times New Roman" w:cs="Times New Roman"/>
          <w:sz w:val="24"/>
          <w:szCs w:val="24"/>
        </w:rPr>
        <w:t>2,</w:t>
      </w:r>
      <w:r w:rsidR="002D4DB7">
        <w:rPr>
          <w:rFonts w:ascii="Times New Roman" w:hAnsi="Times New Roman" w:cs="Times New Roman"/>
          <w:sz w:val="24"/>
          <w:szCs w:val="24"/>
        </w:rPr>
        <w:t>7</w:t>
      </w:r>
      <w:r w:rsidR="00D16ACF">
        <w:rPr>
          <w:rFonts w:ascii="Times New Roman" w:hAnsi="Times New Roman" w:cs="Times New Roman"/>
          <w:sz w:val="24"/>
          <w:szCs w:val="24"/>
        </w:rPr>
        <w:t xml:space="preserve"> </w:t>
      </w:r>
      <w:r w:rsidR="00130D12" w:rsidRPr="00F40D95">
        <w:rPr>
          <w:rFonts w:ascii="Times New Roman" w:hAnsi="Times New Roman" w:cs="Times New Roman"/>
          <w:sz w:val="24"/>
          <w:szCs w:val="24"/>
        </w:rPr>
        <w:t>% veća nego na početku godine</w:t>
      </w:r>
      <w:r w:rsidR="00130D12">
        <w:rPr>
          <w:rFonts w:ascii="Times New Roman" w:hAnsi="Times New Roman" w:cs="Times New Roman"/>
          <w:sz w:val="24"/>
          <w:szCs w:val="24"/>
        </w:rPr>
        <w:t xml:space="preserve"> radi nabave knjiga za </w:t>
      </w:r>
      <w:r>
        <w:rPr>
          <w:rFonts w:ascii="Times New Roman" w:hAnsi="Times New Roman" w:cs="Times New Roman"/>
          <w:sz w:val="24"/>
          <w:szCs w:val="24"/>
        </w:rPr>
        <w:t xml:space="preserve">školsku </w:t>
      </w:r>
      <w:r w:rsidR="00130D12">
        <w:rPr>
          <w:rFonts w:ascii="Times New Roman" w:hAnsi="Times New Roman" w:cs="Times New Roman"/>
          <w:sz w:val="24"/>
          <w:szCs w:val="24"/>
        </w:rPr>
        <w:t>knjižnicu</w:t>
      </w:r>
      <w:r w:rsidR="00D10D72">
        <w:rPr>
          <w:rFonts w:ascii="Times New Roman" w:hAnsi="Times New Roman" w:cs="Times New Roman"/>
          <w:sz w:val="24"/>
          <w:szCs w:val="24"/>
        </w:rPr>
        <w:t>.</w:t>
      </w:r>
    </w:p>
    <w:p w:rsidR="00D16ACF" w:rsidRPr="00F40D95" w:rsidRDefault="00D16ACF" w:rsidP="00130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02924 – Ispravak vrijednosti knjiga na kraju 202</w:t>
      </w:r>
      <w:r w:rsidR="002D4DB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je za </w:t>
      </w:r>
      <w:r w:rsidR="002D4DB7">
        <w:rPr>
          <w:rFonts w:ascii="Times New Roman" w:hAnsi="Times New Roman" w:cs="Times New Roman"/>
          <w:sz w:val="24"/>
          <w:szCs w:val="24"/>
        </w:rPr>
        <w:t>81,8</w:t>
      </w:r>
      <w:r>
        <w:rPr>
          <w:rFonts w:ascii="Times New Roman" w:hAnsi="Times New Roman" w:cs="Times New Roman"/>
          <w:sz w:val="24"/>
          <w:szCs w:val="24"/>
        </w:rPr>
        <w:t>,2 % veći nego na početku godine radi obračunate amortizacije na kraju 202</w:t>
      </w:r>
      <w:r w:rsidR="002D4DB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.godine.</w:t>
      </w:r>
    </w:p>
    <w:p w:rsidR="00D10D72" w:rsidRDefault="00D10D72" w:rsidP="00D10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68B" w:rsidRDefault="0057768B" w:rsidP="00D10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872">
        <w:rPr>
          <w:rFonts w:ascii="Times New Roman" w:hAnsi="Times New Roman" w:cs="Times New Roman"/>
          <w:b/>
          <w:sz w:val="24"/>
          <w:szCs w:val="24"/>
        </w:rPr>
        <w:t xml:space="preserve">Bilješka broj </w:t>
      </w:r>
      <w:r w:rsidR="00D70D7F">
        <w:rPr>
          <w:rFonts w:ascii="Times New Roman" w:hAnsi="Times New Roman" w:cs="Times New Roman"/>
          <w:b/>
          <w:sz w:val="24"/>
          <w:szCs w:val="24"/>
        </w:rPr>
        <w:t>4</w:t>
      </w:r>
    </w:p>
    <w:p w:rsidR="00D31986" w:rsidRPr="000C4E85" w:rsidRDefault="00D70D7F" w:rsidP="002E6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Šifra</w:t>
      </w:r>
      <w:r w:rsidR="004959E9">
        <w:rPr>
          <w:rFonts w:ascii="Times New Roman" w:hAnsi="Times New Roman" w:cs="Times New Roman"/>
          <w:sz w:val="24"/>
          <w:szCs w:val="24"/>
        </w:rPr>
        <w:t xml:space="preserve"> 129</w:t>
      </w:r>
      <w:r w:rsidR="002E6784" w:rsidRPr="000C4E85">
        <w:rPr>
          <w:rFonts w:ascii="Times New Roman" w:hAnsi="Times New Roman" w:cs="Times New Roman"/>
          <w:sz w:val="24"/>
          <w:szCs w:val="24"/>
        </w:rPr>
        <w:t xml:space="preserve"> </w:t>
      </w:r>
      <w:r w:rsidR="0014735D">
        <w:rPr>
          <w:rFonts w:ascii="Times New Roman" w:hAnsi="Times New Roman" w:cs="Times New Roman"/>
          <w:sz w:val="24"/>
          <w:szCs w:val="24"/>
        </w:rPr>
        <w:t>– Ostala potraživanja - stanje</w:t>
      </w:r>
      <w:r w:rsidR="00D31986" w:rsidRPr="000C4E85">
        <w:rPr>
          <w:rFonts w:ascii="Times New Roman" w:hAnsi="Times New Roman" w:cs="Times New Roman"/>
          <w:sz w:val="24"/>
          <w:szCs w:val="24"/>
        </w:rPr>
        <w:t xml:space="preserve"> </w:t>
      </w:r>
      <w:r w:rsidR="0014735D">
        <w:rPr>
          <w:rFonts w:ascii="Times New Roman" w:hAnsi="Times New Roman" w:cs="Times New Roman"/>
          <w:sz w:val="24"/>
          <w:szCs w:val="24"/>
        </w:rPr>
        <w:t>potraživanja</w:t>
      </w:r>
      <w:r w:rsidR="00D31986" w:rsidRPr="000C4E85">
        <w:rPr>
          <w:rFonts w:ascii="Times New Roman" w:hAnsi="Times New Roman" w:cs="Times New Roman"/>
          <w:sz w:val="24"/>
          <w:szCs w:val="24"/>
        </w:rPr>
        <w:t xml:space="preserve"> za naknade koje se refundiraju – bolovanje </w:t>
      </w:r>
      <w:r w:rsidR="00713015">
        <w:rPr>
          <w:rFonts w:ascii="Times New Roman" w:hAnsi="Times New Roman" w:cs="Times New Roman"/>
          <w:sz w:val="24"/>
          <w:szCs w:val="24"/>
        </w:rPr>
        <w:t xml:space="preserve">na teret HZZO-a </w:t>
      </w:r>
      <w:r w:rsidR="0014735D">
        <w:rPr>
          <w:rFonts w:ascii="Times New Roman" w:hAnsi="Times New Roman" w:cs="Times New Roman"/>
          <w:sz w:val="24"/>
          <w:szCs w:val="24"/>
        </w:rPr>
        <w:t>na kraju 202</w:t>
      </w:r>
      <w:r w:rsidR="002D4DB7">
        <w:rPr>
          <w:rFonts w:ascii="Times New Roman" w:hAnsi="Times New Roman" w:cs="Times New Roman"/>
          <w:sz w:val="24"/>
          <w:szCs w:val="24"/>
        </w:rPr>
        <w:t>3</w:t>
      </w:r>
      <w:r w:rsidR="0014735D">
        <w:rPr>
          <w:rFonts w:ascii="Times New Roman" w:hAnsi="Times New Roman" w:cs="Times New Roman"/>
          <w:sz w:val="24"/>
          <w:szCs w:val="24"/>
        </w:rPr>
        <w:t>. godine</w:t>
      </w:r>
      <w:r w:rsidR="00C7064B" w:rsidRPr="000C4E85">
        <w:rPr>
          <w:rFonts w:ascii="Times New Roman" w:hAnsi="Times New Roman" w:cs="Times New Roman"/>
          <w:sz w:val="24"/>
          <w:szCs w:val="24"/>
        </w:rPr>
        <w:t xml:space="preserve"> </w:t>
      </w:r>
      <w:r w:rsidR="00713015">
        <w:rPr>
          <w:rFonts w:ascii="Times New Roman" w:hAnsi="Times New Roman" w:cs="Times New Roman"/>
          <w:sz w:val="24"/>
          <w:szCs w:val="24"/>
        </w:rPr>
        <w:t xml:space="preserve">je za </w:t>
      </w:r>
      <w:r w:rsidR="002D4DB7">
        <w:rPr>
          <w:rFonts w:ascii="Times New Roman" w:hAnsi="Times New Roman" w:cs="Times New Roman"/>
          <w:sz w:val="24"/>
          <w:szCs w:val="24"/>
        </w:rPr>
        <w:t>18</w:t>
      </w:r>
      <w:r w:rsidR="00D16ACF">
        <w:rPr>
          <w:rFonts w:ascii="Times New Roman" w:hAnsi="Times New Roman" w:cs="Times New Roman"/>
          <w:sz w:val="24"/>
          <w:szCs w:val="24"/>
        </w:rPr>
        <w:t xml:space="preserve"> </w:t>
      </w:r>
      <w:r w:rsidR="00713015">
        <w:rPr>
          <w:rFonts w:ascii="Times New Roman" w:hAnsi="Times New Roman" w:cs="Times New Roman"/>
          <w:sz w:val="24"/>
          <w:szCs w:val="24"/>
        </w:rPr>
        <w:t xml:space="preserve">% </w:t>
      </w:r>
      <w:r w:rsidR="004959E9">
        <w:rPr>
          <w:rFonts w:ascii="Times New Roman" w:hAnsi="Times New Roman" w:cs="Times New Roman"/>
          <w:sz w:val="24"/>
          <w:szCs w:val="24"/>
        </w:rPr>
        <w:t>manje</w:t>
      </w:r>
      <w:r w:rsidR="00713015" w:rsidRPr="00713015">
        <w:rPr>
          <w:rFonts w:ascii="Times New Roman" w:hAnsi="Times New Roman" w:cs="Times New Roman"/>
          <w:sz w:val="24"/>
          <w:szCs w:val="24"/>
        </w:rPr>
        <w:t xml:space="preserve"> nego na početku godine</w:t>
      </w:r>
      <w:r w:rsidR="0014735D">
        <w:rPr>
          <w:rFonts w:ascii="Times New Roman" w:hAnsi="Times New Roman" w:cs="Times New Roman"/>
          <w:sz w:val="24"/>
          <w:szCs w:val="24"/>
        </w:rPr>
        <w:t xml:space="preserve">. </w:t>
      </w:r>
      <w:r w:rsidR="0017743F">
        <w:rPr>
          <w:rFonts w:ascii="Times New Roman" w:hAnsi="Times New Roman" w:cs="Times New Roman"/>
          <w:sz w:val="24"/>
          <w:szCs w:val="24"/>
        </w:rPr>
        <w:t xml:space="preserve">Prema </w:t>
      </w:r>
      <w:r w:rsidR="0017743F" w:rsidRPr="0017743F">
        <w:rPr>
          <w:rFonts w:ascii="Times New Roman" w:hAnsi="Times New Roman" w:cs="Times New Roman"/>
          <w:sz w:val="24"/>
          <w:szCs w:val="24"/>
        </w:rPr>
        <w:t>Uput</w:t>
      </w:r>
      <w:r w:rsidR="0017743F">
        <w:rPr>
          <w:rFonts w:ascii="Times New Roman" w:hAnsi="Times New Roman" w:cs="Times New Roman"/>
          <w:sz w:val="24"/>
          <w:szCs w:val="24"/>
        </w:rPr>
        <w:t>i</w:t>
      </w:r>
      <w:r w:rsidR="0017743F" w:rsidRPr="0017743F">
        <w:rPr>
          <w:rFonts w:ascii="Times New Roman" w:hAnsi="Times New Roman" w:cs="Times New Roman"/>
          <w:sz w:val="24"/>
          <w:szCs w:val="24"/>
        </w:rPr>
        <w:t xml:space="preserve"> Ministarstva financija od </w:t>
      </w:r>
      <w:r w:rsidR="00FE644C">
        <w:rPr>
          <w:rFonts w:ascii="Times New Roman" w:hAnsi="Times New Roman" w:cs="Times New Roman"/>
          <w:sz w:val="24"/>
          <w:szCs w:val="24"/>
        </w:rPr>
        <w:t>23.02.2023. 24.05.2023. 25.07.2023. i  25.09.2023.</w:t>
      </w:r>
      <w:r w:rsidR="0017743F" w:rsidRPr="0017743F">
        <w:rPr>
          <w:rFonts w:ascii="Times New Roman" w:hAnsi="Times New Roman" w:cs="Times New Roman"/>
          <w:sz w:val="24"/>
          <w:szCs w:val="24"/>
        </w:rPr>
        <w:t xml:space="preserve"> godine </w:t>
      </w:r>
      <w:r w:rsidR="0017743F">
        <w:rPr>
          <w:rFonts w:ascii="Times New Roman" w:hAnsi="Times New Roman" w:cs="Times New Roman"/>
          <w:sz w:val="24"/>
          <w:szCs w:val="24"/>
        </w:rPr>
        <w:t>u 202</w:t>
      </w:r>
      <w:r w:rsidR="00FE644C">
        <w:rPr>
          <w:rFonts w:ascii="Times New Roman" w:hAnsi="Times New Roman" w:cs="Times New Roman"/>
          <w:sz w:val="24"/>
          <w:szCs w:val="24"/>
        </w:rPr>
        <w:t>3</w:t>
      </w:r>
      <w:r w:rsidR="0017743F">
        <w:rPr>
          <w:rFonts w:ascii="Times New Roman" w:hAnsi="Times New Roman" w:cs="Times New Roman"/>
          <w:sz w:val="24"/>
          <w:szCs w:val="24"/>
        </w:rPr>
        <w:t xml:space="preserve">. godini </w:t>
      </w:r>
      <w:r w:rsidRPr="0017743F">
        <w:rPr>
          <w:rFonts w:ascii="Times New Roman" w:hAnsi="Times New Roman" w:cs="Times New Roman"/>
          <w:sz w:val="24"/>
          <w:szCs w:val="24"/>
        </w:rPr>
        <w:t xml:space="preserve">izvršena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17743F" w:rsidRPr="0017743F">
        <w:rPr>
          <w:rFonts w:ascii="Times New Roman" w:hAnsi="Times New Roman" w:cs="Times New Roman"/>
          <w:sz w:val="24"/>
          <w:szCs w:val="24"/>
        </w:rPr>
        <w:t xml:space="preserve">refundacija naknada plaća za bolovanja na teret HZZO-a </w:t>
      </w:r>
    </w:p>
    <w:p w:rsidR="00CA5C27" w:rsidRPr="00DE7872" w:rsidRDefault="00CA5C27" w:rsidP="002E6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31D" w:rsidRPr="007855ED" w:rsidRDefault="00D0631D" w:rsidP="00D063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5ED">
        <w:rPr>
          <w:rFonts w:ascii="Times New Roman" w:hAnsi="Times New Roman" w:cs="Times New Roman"/>
          <w:b/>
          <w:sz w:val="24"/>
          <w:szCs w:val="24"/>
        </w:rPr>
        <w:t>Bilješka broj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10B5">
        <w:rPr>
          <w:rFonts w:ascii="Times New Roman" w:hAnsi="Times New Roman" w:cs="Times New Roman"/>
          <w:b/>
          <w:sz w:val="24"/>
          <w:szCs w:val="24"/>
        </w:rPr>
        <w:t>5</w:t>
      </w:r>
    </w:p>
    <w:p w:rsidR="00D0631D" w:rsidRDefault="00C04F3C" w:rsidP="00D06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Šifra</w:t>
      </w:r>
      <w:r w:rsidR="00D0631D">
        <w:rPr>
          <w:rFonts w:ascii="Times New Roman" w:hAnsi="Times New Roman" w:cs="Times New Roman"/>
          <w:sz w:val="24"/>
          <w:szCs w:val="24"/>
        </w:rPr>
        <w:t xml:space="preserve"> 193 – Kontinuirani rashodi budućih razdoblja - iskazani su </w:t>
      </w:r>
      <w:r w:rsidR="00D0631D" w:rsidRPr="007855ED">
        <w:rPr>
          <w:rFonts w:ascii="Times New Roman" w:hAnsi="Times New Roman" w:cs="Times New Roman"/>
          <w:sz w:val="24"/>
          <w:szCs w:val="24"/>
        </w:rPr>
        <w:t>kontinuir</w:t>
      </w:r>
      <w:r w:rsidR="00D0631D">
        <w:rPr>
          <w:rFonts w:ascii="Times New Roman" w:hAnsi="Times New Roman" w:cs="Times New Roman"/>
          <w:sz w:val="24"/>
          <w:szCs w:val="24"/>
        </w:rPr>
        <w:t>ani rashodi</w:t>
      </w:r>
      <w:r w:rsidR="00D0631D" w:rsidRPr="007855ED">
        <w:rPr>
          <w:rFonts w:ascii="Times New Roman" w:hAnsi="Times New Roman" w:cs="Times New Roman"/>
          <w:sz w:val="24"/>
          <w:szCs w:val="24"/>
        </w:rPr>
        <w:t xml:space="preserve"> budućih razdoblja</w:t>
      </w:r>
      <w:r w:rsidR="00D0631D">
        <w:rPr>
          <w:rFonts w:ascii="Times New Roman" w:hAnsi="Times New Roman" w:cs="Times New Roman"/>
          <w:sz w:val="24"/>
          <w:szCs w:val="24"/>
        </w:rPr>
        <w:t>:</w:t>
      </w:r>
      <w:r w:rsidR="00D0631D" w:rsidRPr="007855ED">
        <w:rPr>
          <w:rFonts w:ascii="Times New Roman" w:hAnsi="Times New Roman" w:cs="Times New Roman"/>
          <w:sz w:val="24"/>
          <w:szCs w:val="24"/>
        </w:rPr>
        <w:t xml:space="preserve"> plaća za prosinac 20</w:t>
      </w:r>
      <w:r w:rsidR="00D0631D">
        <w:rPr>
          <w:rFonts w:ascii="Times New Roman" w:hAnsi="Times New Roman" w:cs="Times New Roman"/>
          <w:sz w:val="24"/>
          <w:szCs w:val="24"/>
        </w:rPr>
        <w:t>2</w:t>
      </w:r>
      <w:r w:rsidR="00FE644C">
        <w:rPr>
          <w:rFonts w:ascii="Times New Roman" w:hAnsi="Times New Roman" w:cs="Times New Roman"/>
          <w:sz w:val="24"/>
          <w:szCs w:val="24"/>
        </w:rPr>
        <w:t>3</w:t>
      </w:r>
      <w:r w:rsidR="00D0631D">
        <w:rPr>
          <w:rFonts w:ascii="Times New Roman" w:hAnsi="Times New Roman" w:cs="Times New Roman"/>
          <w:sz w:val="24"/>
          <w:szCs w:val="24"/>
        </w:rPr>
        <w:t xml:space="preserve">. godine </w:t>
      </w:r>
      <w:r w:rsidR="00D0631D" w:rsidRPr="007855ED">
        <w:rPr>
          <w:rFonts w:ascii="Times New Roman" w:hAnsi="Times New Roman" w:cs="Times New Roman"/>
          <w:sz w:val="24"/>
          <w:szCs w:val="24"/>
        </w:rPr>
        <w:t xml:space="preserve"> </w:t>
      </w:r>
      <w:r w:rsidR="00D0631D">
        <w:rPr>
          <w:rFonts w:ascii="Times New Roman" w:hAnsi="Times New Roman" w:cs="Times New Roman"/>
          <w:sz w:val="24"/>
          <w:szCs w:val="24"/>
        </w:rPr>
        <w:t xml:space="preserve">i </w:t>
      </w:r>
      <w:r w:rsidR="00D0631D" w:rsidRPr="00BC291F">
        <w:rPr>
          <w:rFonts w:ascii="Times New Roman" w:hAnsi="Times New Roman" w:cs="Times New Roman"/>
          <w:sz w:val="24"/>
          <w:szCs w:val="24"/>
        </w:rPr>
        <w:t>naknada zbog nezapošljavanja osoba s invaliditetom za prosinac 202</w:t>
      </w:r>
      <w:r w:rsidR="00FE644C">
        <w:rPr>
          <w:rFonts w:ascii="Times New Roman" w:hAnsi="Times New Roman" w:cs="Times New Roman"/>
          <w:sz w:val="24"/>
          <w:szCs w:val="24"/>
        </w:rPr>
        <w:t>3</w:t>
      </w:r>
      <w:r w:rsidR="00D0631D" w:rsidRPr="00BC291F">
        <w:rPr>
          <w:rFonts w:ascii="Times New Roman" w:hAnsi="Times New Roman" w:cs="Times New Roman"/>
          <w:sz w:val="24"/>
          <w:szCs w:val="24"/>
        </w:rPr>
        <w:t>. godine</w:t>
      </w:r>
      <w:r w:rsidR="00E37D9F">
        <w:rPr>
          <w:rFonts w:ascii="Times New Roman" w:hAnsi="Times New Roman" w:cs="Times New Roman"/>
          <w:sz w:val="24"/>
          <w:szCs w:val="24"/>
        </w:rPr>
        <w:t>.</w:t>
      </w:r>
    </w:p>
    <w:p w:rsidR="008C10B5" w:rsidRDefault="008C10B5" w:rsidP="00D06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10B5" w:rsidRDefault="008C10B5" w:rsidP="00D06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8C10B5">
        <w:rPr>
          <w:rFonts w:ascii="Times New Roman" w:hAnsi="Times New Roman" w:cs="Times New Roman"/>
          <w:b/>
          <w:sz w:val="24"/>
          <w:szCs w:val="24"/>
        </w:rPr>
        <w:t>Bilješka broj 6</w:t>
      </w:r>
    </w:p>
    <w:p w:rsidR="008C10B5" w:rsidRDefault="008C10B5" w:rsidP="00D06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0B5">
        <w:rPr>
          <w:rFonts w:ascii="Times New Roman" w:hAnsi="Times New Roman" w:cs="Times New Roman"/>
          <w:sz w:val="24"/>
          <w:szCs w:val="24"/>
        </w:rPr>
        <w:t xml:space="preserve">Šifra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1BEB">
        <w:rPr>
          <w:rFonts w:ascii="Times New Roman" w:hAnsi="Times New Roman" w:cs="Times New Roman"/>
          <w:sz w:val="24"/>
          <w:szCs w:val="24"/>
        </w:rPr>
        <w:t xml:space="preserve">232 – Obveze za materijalne rashode – iskazano je povećanje od </w:t>
      </w:r>
      <w:r w:rsidR="00FE644C">
        <w:rPr>
          <w:rFonts w:ascii="Times New Roman" w:hAnsi="Times New Roman" w:cs="Times New Roman"/>
          <w:sz w:val="24"/>
          <w:szCs w:val="24"/>
        </w:rPr>
        <w:t>1.376,8</w:t>
      </w:r>
      <w:r w:rsidR="00821BEB">
        <w:rPr>
          <w:rFonts w:ascii="Times New Roman" w:hAnsi="Times New Roman" w:cs="Times New Roman"/>
          <w:sz w:val="24"/>
          <w:szCs w:val="24"/>
        </w:rPr>
        <w:t xml:space="preserve"> % u odnosu na početak godine radi </w:t>
      </w:r>
      <w:r w:rsidR="00594DE1">
        <w:rPr>
          <w:rFonts w:ascii="Times New Roman" w:hAnsi="Times New Roman" w:cs="Times New Roman"/>
          <w:sz w:val="24"/>
          <w:szCs w:val="24"/>
        </w:rPr>
        <w:t>povećanja usluga tekućeg održavanja- radova</w:t>
      </w:r>
      <w:r w:rsidR="008F5E94">
        <w:rPr>
          <w:rFonts w:ascii="Times New Roman" w:hAnsi="Times New Roman" w:cs="Times New Roman"/>
          <w:sz w:val="24"/>
          <w:szCs w:val="24"/>
        </w:rPr>
        <w:t>,</w:t>
      </w:r>
      <w:r w:rsidR="00594DE1">
        <w:rPr>
          <w:rFonts w:ascii="Times New Roman" w:hAnsi="Times New Roman" w:cs="Times New Roman"/>
          <w:sz w:val="24"/>
          <w:szCs w:val="24"/>
        </w:rPr>
        <w:t xml:space="preserve"> od prodaje zemljišta</w:t>
      </w:r>
      <w:r w:rsidR="008F5E94">
        <w:rPr>
          <w:rFonts w:ascii="Times New Roman" w:hAnsi="Times New Roman" w:cs="Times New Roman"/>
          <w:sz w:val="24"/>
          <w:szCs w:val="24"/>
        </w:rPr>
        <w:t xml:space="preserve"> (sanacija kotlovnice, elektroinstalacija, centralnog grijanja, sanacija krova, restauratorski radovi na fasadi )</w:t>
      </w:r>
      <w:r w:rsidR="00594DE1">
        <w:rPr>
          <w:rFonts w:ascii="Times New Roman" w:hAnsi="Times New Roman" w:cs="Times New Roman"/>
          <w:sz w:val="24"/>
          <w:szCs w:val="24"/>
        </w:rPr>
        <w:t>, najma sportske dvorane u 202</w:t>
      </w:r>
      <w:r w:rsidR="008F5E94">
        <w:rPr>
          <w:rFonts w:ascii="Times New Roman" w:hAnsi="Times New Roman" w:cs="Times New Roman"/>
          <w:sz w:val="24"/>
          <w:szCs w:val="24"/>
        </w:rPr>
        <w:t>3</w:t>
      </w:r>
      <w:r w:rsidR="00594DE1">
        <w:rPr>
          <w:rFonts w:ascii="Times New Roman" w:hAnsi="Times New Roman" w:cs="Times New Roman"/>
          <w:sz w:val="24"/>
          <w:szCs w:val="24"/>
        </w:rPr>
        <w:t>. i  cijene lož ulja u 202</w:t>
      </w:r>
      <w:r w:rsidR="008F5E94">
        <w:rPr>
          <w:rFonts w:ascii="Times New Roman" w:hAnsi="Times New Roman" w:cs="Times New Roman"/>
          <w:sz w:val="24"/>
          <w:szCs w:val="24"/>
        </w:rPr>
        <w:t>3</w:t>
      </w:r>
      <w:r w:rsidR="00594DE1">
        <w:rPr>
          <w:rFonts w:ascii="Times New Roman" w:hAnsi="Times New Roman" w:cs="Times New Roman"/>
          <w:sz w:val="24"/>
          <w:szCs w:val="24"/>
        </w:rPr>
        <w:t>. godini</w:t>
      </w:r>
    </w:p>
    <w:p w:rsidR="00612CA4" w:rsidRDefault="00612CA4" w:rsidP="00D06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31D" w:rsidRPr="00DE7872" w:rsidRDefault="00612CA4" w:rsidP="008F5E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C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D0631D" w:rsidRPr="00DE7872">
        <w:rPr>
          <w:rFonts w:ascii="Times New Roman" w:hAnsi="Times New Roman" w:cs="Times New Roman"/>
          <w:b/>
          <w:sz w:val="24"/>
          <w:szCs w:val="24"/>
        </w:rPr>
        <w:t xml:space="preserve">Bilješka broj </w:t>
      </w:r>
      <w:r w:rsidR="008F5E94">
        <w:rPr>
          <w:rFonts w:ascii="Times New Roman" w:hAnsi="Times New Roman" w:cs="Times New Roman"/>
          <w:b/>
          <w:sz w:val="24"/>
          <w:szCs w:val="24"/>
        </w:rPr>
        <w:t>7</w:t>
      </w:r>
    </w:p>
    <w:p w:rsidR="00D0631D" w:rsidRPr="00E5721B" w:rsidRDefault="00C04F3C" w:rsidP="00D06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Šifra</w:t>
      </w:r>
      <w:r w:rsidR="00D0631D">
        <w:rPr>
          <w:rFonts w:ascii="Times New Roman" w:hAnsi="Times New Roman" w:cs="Times New Roman"/>
          <w:sz w:val="24"/>
          <w:szCs w:val="24"/>
        </w:rPr>
        <w:t xml:space="preserve"> 239</w:t>
      </w:r>
      <w:r w:rsidR="00D0631D" w:rsidRPr="00E5721B">
        <w:rPr>
          <w:rFonts w:ascii="Times New Roman" w:hAnsi="Times New Roman" w:cs="Times New Roman"/>
          <w:sz w:val="24"/>
          <w:szCs w:val="24"/>
        </w:rPr>
        <w:t xml:space="preserve"> – Ostale tekuće obveze - iskazane su obveze za povrat u proračun </w:t>
      </w:r>
      <w:r w:rsidR="00D0631D">
        <w:rPr>
          <w:rFonts w:ascii="Times New Roman" w:hAnsi="Times New Roman" w:cs="Times New Roman"/>
          <w:sz w:val="24"/>
          <w:szCs w:val="24"/>
        </w:rPr>
        <w:t>za bolovanja</w:t>
      </w:r>
      <w:r w:rsidR="00D0631D" w:rsidRPr="00E5721B">
        <w:rPr>
          <w:rFonts w:ascii="Times New Roman" w:hAnsi="Times New Roman" w:cs="Times New Roman"/>
          <w:sz w:val="24"/>
          <w:szCs w:val="24"/>
        </w:rPr>
        <w:t xml:space="preserve"> na teret HZZO-a</w:t>
      </w:r>
      <w:r w:rsidR="00252262">
        <w:rPr>
          <w:rFonts w:ascii="Times New Roman" w:hAnsi="Times New Roman" w:cs="Times New Roman"/>
          <w:sz w:val="24"/>
          <w:szCs w:val="24"/>
        </w:rPr>
        <w:t xml:space="preserve"> koje su za </w:t>
      </w:r>
      <w:r w:rsidR="008F5E94">
        <w:rPr>
          <w:rFonts w:ascii="Times New Roman" w:hAnsi="Times New Roman" w:cs="Times New Roman"/>
          <w:sz w:val="24"/>
          <w:szCs w:val="24"/>
        </w:rPr>
        <w:t>17,4 %</w:t>
      </w:r>
      <w:r w:rsidR="00252262">
        <w:rPr>
          <w:rFonts w:ascii="Times New Roman" w:hAnsi="Times New Roman" w:cs="Times New Roman"/>
          <w:sz w:val="24"/>
          <w:szCs w:val="24"/>
        </w:rPr>
        <w:t xml:space="preserve"> manje</w:t>
      </w:r>
      <w:r w:rsidR="00252262" w:rsidRPr="00461C97">
        <w:rPr>
          <w:rFonts w:ascii="Times New Roman" w:hAnsi="Times New Roman" w:cs="Times New Roman"/>
          <w:sz w:val="24"/>
          <w:szCs w:val="24"/>
        </w:rPr>
        <w:t xml:space="preserve"> nego na početku godine</w:t>
      </w:r>
      <w:r w:rsidR="009E630F">
        <w:rPr>
          <w:rFonts w:ascii="Times New Roman" w:hAnsi="Times New Roman" w:cs="Times New Roman"/>
          <w:sz w:val="24"/>
          <w:szCs w:val="24"/>
        </w:rPr>
        <w:t>, nakon izvršenih refundacija u 2023. godini</w:t>
      </w:r>
      <w:r w:rsidR="00D0631D">
        <w:rPr>
          <w:rFonts w:ascii="Times New Roman" w:hAnsi="Times New Roman" w:cs="Times New Roman"/>
          <w:sz w:val="24"/>
          <w:szCs w:val="24"/>
        </w:rPr>
        <w:t>.</w:t>
      </w:r>
    </w:p>
    <w:p w:rsidR="00D0631D" w:rsidRDefault="00D0631D" w:rsidP="00D06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31D" w:rsidRPr="00DE7872" w:rsidRDefault="00D0631D" w:rsidP="00D063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872">
        <w:rPr>
          <w:rFonts w:ascii="Times New Roman" w:hAnsi="Times New Roman" w:cs="Times New Roman"/>
          <w:b/>
          <w:sz w:val="24"/>
          <w:szCs w:val="24"/>
        </w:rPr>
        <w:t>Bilješka broj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5E94">
        <w:rPr>
          <w:rFonts w:ascii="Times New Roman" w:hAnsi="Times New Roman" w:cs="Times New Roman"/>
          <w:b/>
          <w:sz w:val="24"/>
          <w:szCs w:val="24"/>
        </w:rPr>
        <w:t>8</w:t>
      </w:r>
    </w:p>
    <w:p w:rsidR="00D0631D" w:rsidRDefault="00D0631D" w:rsidP="00D06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8BA">
        <w:rPr>
          <w:rFonts w:ascii="Times New Roman" w:hAnsi="Times New Roman" w:cs="Times New Roman"/>
          <w:sz w:val="24"/>
          <w:szCs w:val="24"/>
        </w:rPr>
        <w:t xml:space="preserve">Ukupan rezultat u </w:t>
      </w:r>
      <w:r>
        <w:rPr>
          <w:rFonts w:ascii="Times New Roman" w:hAnsi="Times New Roman" w:cs="Times New Roman"/>
          <w:sz w:val="24"/>
          <w:szCs w:val="24"/>
        </w:rPr>
        <w:t>obrascu Bilanca n</w:t>
      </w:r>
      <w:r w:rsidRPr="00005ECF">
        <w:rPr>
          <w:rFonts w:ascii="Times New Roman" w:hAnsi="Times New Roman" w:cs="Times New Roman"/>
          <w:sz w:val="24"/>
          <w:szCs w:val="24"/>
        </w:rPr>
        <w:t>a dan 31. prosinca 202</w:t>
      </w:r>
      <w:r w:rsidR="008F5E94">
        <w:rPr>
          <w:rFonts w:ascii="Times New Roman" w:hAnsi="Times New Roman" w:cs="Times New Roman"/>
          <w:sz w:val="24"/>
          <w:szCs w:val="24"/>
        </w:rPr>
        <w:t>3</w:t>
      </w:r>
      <w:r w:rsidRPr="00005ECF">
        <w:rPr>
          <w:rFonts w:ascii="Times New Roman" w:hAnsi="Times New Roman" w:cs="Times New Roman"/>
          <w:sz w:val="24"/>
          <w:szCs w:val="24"/>
        </w:rPr>
        <w:t>. godine</w:t>
      </w:r>
      <w:r w:rsidRPr="009448BA">
        <w:rPr>
          <w:rFonts w:ascii="Times New Roman" w:hAnsi="Times New Roman" w:cs="Times New Roman"/>
          <w:sz w:val="24"/>
          <w:szCs w:val="24"/>
        </w:rPr>
        <w:t xml:space="preserve"> uključuje zbroj prenesenog rezultata prethodnog razdoblja  i donesenog rezultata tekuće godine iskazanog prema dvije aktivnosti: poslovanje i transakcije na nefinancijskoj imovini.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31D" w:rsidRDefault="00D0631D" w:rsidP="00D06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31D" w:rsidRPr="00285780" w:rsidRDefault="00D0631D" w:rsidP="00612C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Podaci u Bilanci iskazani su nakon provedene obvezne korekcije rezultata prema</w:t>
      </w:r>
      <w:r w:rsidRPr="007A3AE5">
        <w:rPr>
          <w:rFonts w:ascii="Times New Roman" w:hAnsi="Times New Roman" w:cs="Times New Roman"/>
          <w:sz w:val="24"/>
          <w:szCs w:val="24"/>
        </w:rPr>
        <w:t xml:space="preserve"> čl. 82. Pravilnika </w:t>
      </w:r>
      <w:r>
        <w:rPr>
          <w:rFonts w:ascii="Times New Roman" w:hAnsi="Times New Roman" w:cs="Times New Roman"/>
          <w:sz w:val="24"/>
          <w:szCs w:val="24"/>
        </w:rPr>
        <w:t>o proračunskom računovodstvu i R</w:t>
      </w:r>
      <w:r w:rsidRPr="007A3AE5">
        <w:rPr>
          <w:rFonts w:ascii="Times New Roman" w:hAnsi="Times New Roman" w:cs="Times New Roman"/>
          <w:sz w:val="24"/>
          <w:szCs w:val="24"/>
        </w:rPr>
        <w:t>ačunskom planu</w:t>
      </w:r>
      <w:r>
        <w:rPr>
          <w:rFonts w:ascii="Times New Roman" w:hAnsi="Times New Roman" w:cs="Times New Roman"/>
          <w:sz w:val="24"/>
          <w:szCs w:val="24"/>
        </w:rPr>
        <w:t xml:space="preserve"> koja je provedena zbog sljedećih </w:t>
      </w:r>
      <w:r w:rsidRPr="00406835">
        <w:rPr>
          <w:rFonts w:ascii="Times New Roman" w:hAnsi="Times New Roman" w:cs="Times New Roman"/>
          <w:sz w:val="24"/>
          <w:szCs w:val="24"/>
        </w:rPr>
        <w:t>kapitalnih prijenosa sredstava kojima su financirane nabave nefinancijske imovine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857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E94" w:rsidRDefault="00D0631D" w:rsidP="005D7A39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0B0">
        <w:rPr>
          <w:rFonts w:ascii="Times New Roman" w:hAnsi="Times New Roman" w:cs="Times New Roman"/>
          <w:sz w:val="24"/>
          <w:szCs w:val="24"/>
        </w:rPr>
        <w:t xml:space="preserve">Ministarstvo znanosti i obrazovanja je financiralo nabavu lektire za školsku knjižnicu u iznosu od </w:t>
      </w:r>
      <w:r w:rsidR="008F5E94">
        <w:rPr>
          <w:rFonts w:ascii="Times New Roman" w:hAnsi="Times New Roman" w:cs="Times New Roman"/>
          <w:sz w:val="24"/>
          <w:szCs w:val="24"/>
        </w:rPr>
        <w:t>531,00 eura.</w:t>
      </w:r>
      <w:r w:rsidRPr="009220B0">
        <w:rPr>
          <w:rFonts w:ascii="Times New Roman" w:hAnsi="Times New Roman" w:cs="Times New Roman"/>
          <w:sz w:val="24"/>
          <w:szCs w:val="24"/>
        </w:rPr>
        <w:t xml:space="preserve"> Dobivena sredstva evidentirana su na računu 63622 – Kapitalne pomoći iz državnog proračuna proračunskim korisnicima proračuna JLP(R)S, a utrošena su za nabavu dugotrajne nefinancijske imovine – razred 4 </w:t>
      </w:r>
    </w:p>
    <w:p w:rsidR="00D0631D" w:rsidRPr="009220B0" w:rsidRDefault="008F5E94" w:rsidP="005D7A39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Proračun Primorsko-goranska županija financirala je nabavu računalne opreme za Program školskog kurikuluma- Škola i zajednica</w:t>
      </w:r>
      <w:r w:rsidR="000652B5">
        <w:rPr>
          <w:rFonts w:ascii="Times New Roman" w:hAnsi="Times New Roman" w:cs="Times New Roman"/>
          <w:sz w:val="24"/>
          <w:szCs w:val="24"/>
        </w:rPr>
        <w:t xml:space="preserve"> u iznosu od 1.046,4</w:t>
      </w:r>
      <w:r w:rsidR="00E76D9E">
        <w:rPr>
          <w:rFonts w:ascii="Times New Roman" w:hAnsi="Times New Roman" w:cs="Times New Roman"/>
          <w:sz w:val="24"/>
          <w:szCs w:val="24"/>
        </w:rPr>
        <w:t>6</w:t>
      </w:r>
      <w:r w:rsidR="000652B5">
        <w:rPr>
          <w:rFonts w:ascii="Times New Roman" w:hAnsi="Times New Roman" w:cs="Times New Roman"/>
          <w:sz w:val="24"/>
          <w:szCs w:val="24"/>
        </w:rPr>
        <w:t xml:space="preserve"> eura. Dobivena sredstva evidentirana su na računu 67121 – Prihodi iz nadležnog proračuna za financiranje rashoda za nabavu nefinancijske imovine, a utrošena su za nabavu računalne opreme- razred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31D" w:rsidRPr="009220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31D" w:rsidRPr="00285780" w:rsidRDefault="00D0631D" w:rsidP="00D0631D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31D" w:rsidRPr="007A3AE5" w:rsidRDefault="00D0631D" w:rsidP="00D06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 gore navedene nabave izvršena je </w:t>
      </w:r>
      <w:r w:rsidRPr="007A3AE5">
        <w:rPr>
          <w:rFonts w:ascii="Times New Roman" w:hAnsi="Times New Roman" w:cs="Times New Roman"/>
          <w:sz w:val="24"/>
          <w:szCs w:val="24"/>
        </w:rPr>
        <w:t xml:space="preserve">obvezna korekcija rezultata na način da je zadužen račun viška prihoda poslovanja u iznosu od </w:t>
      </w:r>
      <w:r w:rsidR="000652B5">
        <w:rPr>
          <w:rFonts w:ascii="Times New Roman" w:hAnsi="Times New Roman" w:cs="Times New Roman"/>
          <w:sz w:val="24"/>
          <w:szCs w:val="24"/>
        </w:rPr>
        <w:t>1.577,4</w:t>
      </w:r>
      <w:r w:rsidR="00E76D9E">
        <w:rPr>
          <w:rFonts w:ascii="Times New Roman" w:hAnsi="Times New Roman" w:cs="Times New Roman"/>
          <w:sz w:val="24"/>
          <w:szCs w:val="24"/>
        </w:rPr>
        <w:t>6</w:t>
      </w:r>
      <w:r w:rsidR="000652B5">
        <w:rPr>
          <w:rFonts w:ascii="Times New Roman" w:hAnsi="Times New Roman" w:cs="Times New Roman"/>
          <w:sz w:val="24"/>
          <w:szCs w:val="24"/>
        </w:rPr>
        <w:t xml:space="preserve"> eura</w:t>
      </w:r>
      <w:r w:rsidRPr="007A3AE5">
        <w:rPr>
          <w:rFonts w:ascii="Times New Roman" w:hAnsi="Times New Roman" w:cs="Times New Roman"/>
          <w:sz w:val="24"/>
          <w:szCs w:val="24"/>
        </w:rPr>
        <w:t xml:space="preserve">, a odobren račun manjka prihoda od nefinancijske imovine u istom iznosu. </w:t>
      </w:r>
    </w:p>
    <w:p w:rsidR="00D0631D" w:rsidRDefault="00D0631D" w:rsidP="00D06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30F" w:rsidRDefault="00D0631D" w:rsidP="00D06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D8E">
        <w:rPr>
          <w:rFonts w:ascii="Times New Roman" w:hAnsi="Times New Roman" w:cs="Times New Roman"/>
          <w:sz w:val="24"/>
          <w:szCs w:val="24"/>
        </w:rPr>
        <w:t xml:space="preserve">Na kraju proračunske godine utvrđen je višak prihoda </w:t>
      </w:r>
      <w:r>
        <w:rPr>
          <w:rFonts w:ascii="Times New Roman" w:hAnsi="Times New Roman" w:cs="Times New Roman"/>
          <w:sz w:val="24"/>
          <w:szCs w:val="24"/>
        </w:rPr>
        <w:t xml:space="preserve">raspoloživ u sljedećem razdoblju </w:t>
      </w:r>
      <w:r w:rsidRPr="00686D8E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0652B5">
        <w:rPr>
          <w:rFonts w:ascii="Times New Roman" w:hAnsi="Times New Roman" w:cs="Times New Roman"/>
          <w:sz w:val="24"/>
          <w:szCs w:val="24"/>
        </w:rPr>
        <w:t>37.260,2</w:t>
      </w:r>
      <w:r w:rsidR="00E76D9E">
        <w:rPr>
          <w:rFonts w:ascii="Times New Roman" w:hAnsi="Times New Roman" w:cs="Times New Roman"/>
          <w:sz w:val="24"/>
          <w:szCs w:val="24"/>
        </w:rPr>
        <w:t>6</w:t>
      </w:r>
      <w:r w:rsidR="000652B5">
        <w:rPr>
          <w:rFonts w:ascii="Times New Roman" w:hAnsi="Times New Roman" w:cs="Times New Roman"/>
          <w:sz w:val="24"/>
          <w:szCs w:val="24"/>
        </w:rPr>
        <w:t xml:space="preserve"> eura</w:t>
      </w:r>
      <w:r w:rsidRPr="00686D8E">
        <w:rPr>
          <w:rFonts w:ascii="Times New Roman" w:hAnsi="Times New Roman" w:cs="Times New Roman"/>
          <w:sz w:val="24"/>
          <w:szCs w:val="24"/>
        </w:rPr>
        <w:t xml:space="preserve"> koji se, nakon provedenih propisanih korekcija, sastoji od viška prihoda poslovanja u iznosu od </w:t>
      </w:r>
      <w:r w:rsidR="009E630F">
        <w:rPr>
          <w:rFonts w:ascii="Times New Roman" w:hAnsi="Times New Roman" w:cs="Times New Roman"/>
          <w:sz w:val="24"/>
          <w:szCs w:val="24"/>
        </w:rPr>
        <w:t>37.680,2</w:t>
      </w:r>
      <w:r w:rsidR="00E76D9E">
        <w:rPr>
          <w:rFonts w:ascii="Times New Roman" w:hAnsi="Times New Roman" w:cs="Times New Roman"/>
          <w:sz w:val="24"/>
          <w:szCs w:val="24"/>
        </w:rPr>
        <w:t>7</w:t>
      </w:r>
      <w:r w:rsidR="009E630F">
        <w:rPr>
          <w:rFonts w:ascii="Times New Roman" w:hAnsi="Times New Roman" w:cs="Times New Roman"/>
          <w:sz w:val="24"/>
          <w:szCs w:val="24"/>
        </w:rPr>
        <w:t xml:space="preserve"> </w:t>
      </w:r>
      <w:r w:rsidR="000652B5">
        <w:rPr>
          <w:rFonts w:ascii="Times New Roman" w:hAnsi="Times New Roman" w:cs="Times New Roman"/>
          <w:sz w:val="24"/>
          <w:szCs w:val="24"/>
        </w:rPr>
        <w:t>eura</w:t>
      </w:r>
      <w:r w:rsidRPr="00686D8E">
        <w:rPr>
          <w:rFonts w:ascii="Times New Roman" w:hAnsi="Times New Roman" w:cs="Times New Roman"/>
          <w:sz w:val="24"/>
          <w:szCs w:val="24"/>
        </w:rPr>
        <w:t xml:space="preserve"> (</w:t>
      </w:r>
      <w:r w:rsidR="008A53B6">
        <w:rPr>
          <w:rFonts w:ascii="Times New Roman" w:hAnsi="Times New Roman" w:cs="Times New Roman"/>
          <w:sz w:val="24"/>
          <w:szCs w:val="24"/>
        </w:rPr>
        <w:t>šifra</w:t>
      </w:r>
      <w:r>
        <w:rPr>
          <w:rFonts w:ascii="Times New Roman" w:hAnsi="Times New Roman" w:cs="Times New Roman"/>
          <w:sz w:val="24"/>
          <w:szCs w:val="24"/>
        </w:rPr>
        <w:t xml:space="preserve"> 92211</w:t>
      </w:r>
      <w:r w:rsidRPr="00686D8E">
        <w:rPr>
          <w:rFonts w:ascii="Times New Roman" w:hAnsi="Times New Roman" w:cs="Times New Roman"/>
          <w:sz w:val="24"/>
          <w:szCs w:val="24"/>
        </w:rPr>
        <w:t xml:space="preserve">) i </w:t>
      </w:r>
      <w:r w:rsidR="009E630F">
        <w:rPr>
          <w:rFonts w:ascii="Times New Roman" w:hAnsi="Times New Roman" w:cs="Times New Roman"/>
          <w:sz w:val="24"/>
          <w:szCs w:val="24"/>
        </w:rPr>
        <w:t xml:space="preserve">manjka prihoda od nefinancijske imovine </w:t>
      </w:r>
    </w:p>
    <w:p w:rsidR="00D0631D" w:rsidRDefault="009E630F" w:rsidP="00D06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</w:t>
      </w:r>
      <w:r w:rsidR="00D0631D" w:rsidRPr="00686D8E">
        <w:rPr>
          <w:rFonts w:ascii="Times New Roman" w:hAnsi="Times New Roman" w:cs="Times New Roman"/>
          <w:sz w:val="24"/>
          <w:szCs w:val="24"/>
        </w:rPr>
        <w:t xml:space="preserve">znosu od </w:t>
      </w:r>
      <w:r>
        <w:rPr>
          <w:rFonts w:ascii="Times New Roman" w:hAnsi="Times New Roman" w:cs="Times New Roman"/>
          <w:sz w:val="24"/>
          <w:szCs w:val="24"/>
        </w:rPr>
        <w:t>420,01</w:t>
      </w:r>
      <w:r w:rsidR="000652B5">
        <w:rPr>
          <w:rFonts w:ascii="Times New Roman" w:hAnsi="Times New Roman" w:cs="Times New Roman"/>
          <w:sz w:val="24"/>
          <w:szCs w:val="24"/>
        </w:rPr>
        <w:t xml:space="preserve"> eura</w:t>
      </w:r>
      <w:r w:rsidR="00D0631D">
        <w:rPr>
          <w:rFonts w:ascii="Times New Roman" w:hAnsi="Times New Roman" w:cs="Times New Roman"/>
          <w:sz w:val="24"/>
          <w:szCs w:val="24"/>
        </w:rPr>
        <w:t xml:space="preserve"> (šifra 922</w:t>
      </w:r>
      <w:r>
        <w:rPr>
          <w:rFonts w:ascii="Times New Roman" w:hAnsi="Times New Roman" w:cs="Times New Roman"/>
          <w:sz w:val="24"/>
          <w:szCs w:val="24"/>
        </w:rPr>
        <w:t>22</w:t>
      </w:r>
      <w:r w:rsidR="00D0631D">
        <w:rPr>
          <w:rFonts w:ascii="Times New Roman" w:hAnsi="Times New Roman" w:cs="Times New Roman"/>
          <w:sz w:val="24"/>
          <w:szCs w:val="24"/>
        </w:rPr>
        <w:t>):</w:t>
      </w:r>
    </w:p>
    <w:p w:rsidR="00B64080" w:rsidRDefault="00B64080" w:rsidP="00D06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098"/>
        <w:gridCol w:w="2138"/>
        <w:gridCol w:w="1868"/>
        <w:gridCol w:w="1524"/>
      </w:tblGrid>
      <w:tr w:rsidR="00D0631D" w:rsidRPr="000F76CD" w:rsidTr="00F31376">
        <w:tc>
          <w:tcPr>
            <w:tcW w:w="0" w:type="auto"/>
            <w:shd w:val="clear" w:color="auto" w:fill="D9D9D9" w:themeFill="background1" w:themeFillShade="D9"/>
            <w:vAlign w:val="center"/>
          </w:tcPr>
          <w:p w:rsidR="00D0631D" w:rsidRPr="000F76CD" w:rsidRDefault="00D0631D" w:rsidP="00F31376">
            <w:pPr>
              <w:jc w:val="center"/>
              <w:rPr>
                <w:rFonts w:ascii="Times New Roman" w:hAnsi="Times New Roman" w:cs="Times New Roman"/>
              </w:rPr>
            </w:pPr>
            <w:r w:rsidRPr="000F76CD">
              <w:rPr>
                <w:rFonts w:ascii="Times New Roman" w:hAnsi="Times New Roman" w:cs="Times New Roman"/>
              </w:rPr>
              <w:t>Opis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D0631D" w:rsidRDefault="00D0631D" w:rsidP="00F31376">
            <w:pPr>
              <w:jc w:val="center"/>
              <w:rPr>
                <w:rFonts w:ascii="Times New Roman" w:hAnsi="Times New Roman" w:cs="Times New Roman"/>
              </w:rPr>
            </w:pPr>
            <w:r w:rsidRPr="000F76CD">
              <w:rPr>
                <w:rFonts w:ascii="Times New Roman" w:hAnsi="Times New Roman" w:cs="Times New Roman"/>
              </w:rPr>
              <w:t>Višak / manjak prihoda poslovanja</w:t>
            </w:r>
          </w:p>
          <w:p w:rsidR="004C2B83" w:rsidRPr="000F76CD" w:rsidRDefault="004C2B83" w:rsidP="00E95F80">
            <w:pPr>
              <w:jc w:val="center"/>
              <w:rPr>
                <w:rFonts w:ascii="Times New Roman" w:hAnsi="Times New Roman" w:cs="Times New Roman"/>
              </w:rPr>
            </w:pPr>
            <w:r w:rsidRPr="00574221">
              <w:rPr>
                <w:rFonts w:ascii="Times New Roman" w:hAnsi="Times New Roman" w:cs="Times New Roman"/>
              </w:rPr>
              <w:t xml:space="preserve">(u </w:t>
            </w:r>
            <w:r w:rsidR="00E95F80">
              <w:rPr>
                <w:rFonts w:ascii="Times New Roman" w:hAnsi="Times New Roman" w:cs="Times New Roman"/>
              </w:rPr>
              <w:t>eurima</w:t>
            </w:r>
            <w:r w:rsidRPr="0057422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68" w:type="dxa"/>
            <w:shd w:val="clear" w:color="auto" w:fill="D9D9D9" w:themeFill="background1" w:themeFillShade="D9"/>
            <w:vAlign w:val="center"/>
          </w:tcPr>
          <w:p w:rsidR="00D0631D" w:rsidRDefault="00D0631D" w:rsidP="00F31376">
            <w:pPr>
              <w:jc w:val="center"/>
              <w:rPr>
                <w:rFonts w:ascii="Times New Roman" w:hAnsi="Times New Roman" w:cs="Times New Roman"/>
              </w:rPr>
            </w:pPr>
            <w:r w:rsidRPr="000F76CD">
              <w:rPr>
                <w:rFonts w:ascii="Times New Roman" w:hAnsi="Times New Roman" w:cs="Times New Roman"/>
              </w:rPr>
              <w:t>Višak / manjak prihoda od nefinancijske imovine</w:t>
            </w:r>
          </w:p>
          <w:p w:rsidR="004C2B83" w:rsidRPr="000F76CD" w:rsidRDefault="004C2B83" w:rsidP="00E95F80">
            <w:pPr>
              <w:jc w:val="center"/>
              <w:rPr>
                <w:rFonts w:ascii="Times New Roman" w:hAnsi="Times New Roman" w:cs="Times New Roman"/>
              </w:rPr>
            </w:pPr>
            <w:r w:rsidRPr="00574221">
              <w:rPr>
                <w:rFonts w:ascii="Times New Roman" w:hAnsi="Times New Roman" w:cs="Times New Roman"/>
              </w:rPr>
              <w:t xml:space="preserve">(u </w:t>
            </w:r>
            <w:r w:rsidR="00E95F80">
              <w:rPr>
                <w:rFonts w:ascii="Times New Roman" w:hAnsi="Times New Roman" w:cs="Times New Roman"/>
              </w:rPr>
              <w:t>eurima</w:t>
            </w:r>
            <w:r w:rsidRPr="0057422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24" w:type="dxa"/>
            <w:shd w:val="clear" w:color="auto" w:fill="D9D9D9" w:themeFill="background1" w:themeFillShade="D9"/>
            <w:vAlign w:val="center"/>
          </w:tcPr>
          <w:p w:rsidR="00D0631D" w:rsidRDefault="00D0631D" w:rsidP="00F31376">
            <w:pPr>
              <w:jc w:val="center"/>
              <w:rPr>
                <w:rFonts w:ascii="Times New Roman" w:hAnsi="Times New Roman" w:cs="Times New Roman"/>
              </w:rPr>
            </w:pPr>
            <w:r w:rsidRPr="000F76CD">
              <w:rPr>
                <w:rFonts w:ascii="Times New Roman" w:hAnsi="Times New Roman" w:cs="Times New Roman"/>
              </w:rPr>
              <w:t>Rezultat</w:t>
            </w:r>
          </w:p>
          <w:p w:rsidR="004C2B83" w:rsidRPr="000F76CD" w:rsidRDefault="004C2B83" w:rsidP="00E95F80">
            <w:pPr>
              <w:jc w:val="center"/>
              <w:rPr>
                <w:rFonts w:ascii="Times New Roman" w:hAnsi="Times New Roman" w:cs="Times New Roman"/>
              </w:rPr>
            </w:pPr>
            <w:r w:rsidRPr="00574221">
              <w:rPr>
                <w:rFonts w:ascii="Times New Roman" w:hAnsi="Times New Roman" w:cs="Times New Roman"/>
              </w:rPr>
              <w:t xml:space="preserve">(u </w:t>
            </w:r>
            <w:r w:rsidR="00E95F80">
              <w:rPr>
                <w:rFonts w:ascii="Times New Roman" w:hAnsi="Times New Roman" w:cs="Times New Roman"/>
              </w:rPr>
              <w:t>eurima</w:t>
            </w:r>
            <w:r w:rsidRPr="00574221">
              <w:rPr>
                <w:rFonts w:ascii="Times New Roman" w:hAnsi="Times New Roman" w:cs="Times New Roman"/>
              </w:rPr>
              <w:t>)</w:t>
            </w:r>
          </w:p>
        </w:tc>
      </w:tr>
      <w:tr w:rsidR="00D0631D" w:rsidRPr="000F76CD" w:rsidTr="00F31376">
        <w:tc>
          <w:tcPr>
            <w:tcW w:w="0" w:type="auto"/>
            <w:vAlign w:val="center"/>
          </w:tcPr>
          <w:p w:rsidR="00D0631D" w:rsidRPr="000F76CD" w:rsidRDefault="00D0631D" w:rsidP="00F31376">
            <w:pPr>
              <w:rPr>
                <w:rFonts w:ascii="Times New Roman" w:hAnsi="Times New Roman" w:cs="Times New Roman"/>
              </w:rPr>
            </w:pPr>
            <w:r w:rsidRPr="000F76CD">
              <w:rPr>
                <w:rFonts w:ascii="Times New Roman" w:hAnsi="Times New Roman" w:cs="Times New Roman"/>
              </w:rPr>
              <w:t xml:space="preserve">Preneseni rezultat prethodnog razdoblja </w:t>
            </w:r>
          </w:p>
        </w:tc>
        <w:tc>
          <w:tcPr>
            <w:tcW w:w="0" w:type="auto"/>
            <w:vAlign w:val="center"/>
          </w:tcPr>
          <w:p w:rsidR="004D1910" w:rsidRPr="000F76CD" w:rsidRDefault="002F1DE3" w:rsidP="003F43E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64.999,4</w:t>
            </w:r>
            <w:r w:rsidR="003F43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68" w:type="dxa"/>
            <w:vAlign w:val="center"/>
          </w:tcPr>
          <w:p w:rsidR="00D0631D" w:rsidRPr="000F76CD" w:rsidRDefault="002F1DE3" w:rsidP="003F43E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17.582,8</w:t>
            </w:r>
            <w:r w:rsidR="003F43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24" w:type="dxa"/>
            <w:vAlign w:val="center"/>
          </w:tcPr>
          <w:p w:rsidR="00D0631D" w:rsidRPr="000F76CD" w:rsidRDefault="002F1DE3" w:rsidP="00F3137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82.582,29</w:t>
            </w:r>
          </w:p>
        </w:tc>
      </w:tr>
      <w:tr w:rsidR="00A208BB" w:rsidRPr="000F76CD" w:rsidTr="00F31376">
        <w:tc>
          <w:tcPr>
            <w:tcW w:w="0" w:type="auto"/>
            <w:vAlign w:val="center"/>
          </w:tcPr>
          <w:p w:rsidR="00A208BB" w:rsidRPr="000F76CD" w:rsidRDefault="00A208BB" w:rsidP="00065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Tekući r</w:t>
            </w:r>
            <w:r w:rsidRPr="000F76CD">
              <w:rPr>
                <w:rFonts w:ascii="Times New Roman" w:hAnsi="Times New Roman" w:cs="Times New Roman"/>
              </w:rPr>
              <w:t>ezultat na dan 31. prosinca 202</w:t>
            </w:r>
            <w:r w:rsidR="000652B5">
              <w:rPr>
                <w:rFonts w:ascii="Times New Roman" w:hAnsi="Times New Roman" w:cs="Times New Roman"/>
              </w:rPr>
              <w:t>3</w:t>
            </w:r>
            <w:r w:rsidRPr="000F76CD">
              <w:rPr>
                <w:rFonts w:ascii="Times New Roman" w:hAnsi="Times New Roman" w:cs="Times New Roman"/>
              </w:rPr>
              <w:t>. godine</w:t>
            </w:r>
          </w:p>
        </w:tc>
        <w:tc>
          <w:tcPr>
            <w:tcW w:w="0" w:type="auto"/>
            <w:vAlign w:val="center"/>
          </w:tcPr>
          <w:p w:rsidR="00A208BB" w:rsidRPr="000F76CD" w:rsidRDefault="00F104E7" w:rsidP="00A208B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-25.741,67</w:t>
            </w:r>
          </w:p>
        </w:tc>
        <w:tc>
          <w:tcPr>
            <w:tcW w:w="1868" w:type="dxa"/>
            <w:vAlign w:val="center"/>
          </w:tcPr>
          <w:p w:rsidR="00A208BB" w:rsidRPr="000F76CD" w:rsidRDefault="00F104E7" w:rsidP="00A208B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-19.580,37</w:t>
            </w:r>
          </w:p>
        </w:tc>
        <w:tc>
          <w:tcPr>
            <w:tcW w:w="1524" w:type="dxa"/>
            <w:vAlign w:val="center"/>
          </w:tcPr>
          <w:p w:rsidR="00A208BB" w:rsidRPr="000F76CD" w:rsidRDefault="00F104E7" w:rsidP="00A208B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-45.322,04</w:t>
            </w:r>
          </w:p>
        </w:tc>
      </w:tr>
      <w:tr w:rsidR="00A208BB" w:rsidRPr="000F76CD" w:rsidTr="00F31376">
        <w:tc>
          <w:tcPr>
            <w:tcW w:w="0" w:type="auto"/>
            <w:vAlign w:val="center"/>
          </w:tcPr>
          <w:p w:rsidR="00A208BB" w:rsidRPr="000F76CD" w:rsidRDefault="00A208BB" w:rsidP="000652B5">
            <w:pPr>
              <w:rPr>
                <w:rFonts w:ascii="Times New Roman" w:hAnsi="Times New Roman" w:cs="Times New Roman"/>
                <w:color w:val="000000"/>
              </w:rPr>
            </w:pPr>
            <w:r w:rsidRPr="00A208BB">
              <w:rPr>
                <w:rFonts w:ascii="Times New Roman" w:hAnsi="Times New Roman" w:cs="Times New Roman"/>
                <w:color w:val="000000"/>
              </w:rPr>
              <w:t>Rezultat na dan 31. prosinca 202</w:t>
            </w:r>
            <w:r w:rsidR="000652B5">
              <w:rPr>
                <w:rFonts w:ascii="Times New Roman" w:hAnsi="Times New Roman" w:cs="Times New Roman"/>
                <w:color w:val="000000"/>
              </w:rPr>
              <w:t>3</w:t>
            </w:r>
            <w:r w:rsidRPr="00A208BB">
              <w:rPr>
                <w:rFonts w:ascii="Times New Roman" w:hAnsi="Times New Roman" w:cs="Times New Roman"/>
                <w:color w:val="000000"/>
              </w:rPr>
              <w:t>. godine</w:t>
            </w:r>
          </w:p>
        </w:tc>
        <w:tc>
          <w:tcPr>
            <w:tcW w:w="0" w:type="auto"/>
            <w:vAlign w:val="center"/>
          </w:tcPr>
          <w:p w:rsidR="00A208BB" w:rsidRPr="000F76CD" w:rsidRDefault="003F43E2" w:rsidP="00A208B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39.257,73</w:t>
            </w:r>
          </w:p>
        </w:tc>
        <w:tc>
          <w:tcPr>
            <w:tcW w:w="1868" w:type="dxa"/>
            <w:vAlign w:val="center"/>
          </w:tcPr>
          <w:p w:rsidR="00A208BB" w:rsidRPr="000F76CD" w:rsidRDefault="000D06A4" w:rsidP="00A208B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- 1.997,48</w:t>
            </w:r>
          </w:p>
        </w:tc>
        <w:tc>
          <w:tcPr>
            <w:tcW w:w="1524" w:type="dxa"/>
            <w:vAlign w:val="center"/>
          </w:tcPr>
          <w:p w:rsidR="00A208BB" w:rsidRPr="000F76CD" w:rsidRDefault="000D06A4" w:rsidP="00A208B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37.260,25</w:t>
            </w:r>
          </w:p>
        </w:tc>
      </w:tr>
      <w:tr w:rsidR="00A208BB" w:rsidRPr="000F76CD" w:rsidTr="00F31376">
        <w:tc>
          <w:tcPr>
            <w:tcW w:w="0" w:type="auto"/>
            <w:vAlign w:val="center"/>
          </w:tcPr>
          <w:p w:rsidR="00A208BB" w:rsidRPr="000F76CD" w:rsidRDefault="00A208BB" w:rsidP="00A208BB">
            <w:pPr>
              <w:rPr>
                <w:rFonts w:ascii="Times New Roman" w:hAnsi="Times New Roman" w:cs="Times New Roman"/>
              </w:rPr>
            </w:pPr>
            <w:r w:rsidRPr="000F76CD">
              <w:rPr>
                <w:rFonts w:ascii="Times New Roman" w:hAnsi="Times New Roman" w:cs="Times New Roman"/>
                <w:color w:val="000000"/>
              </w:rPr>
              <w:t>Obvezna  korekcija rezultata tekuće godine temeljem čl. 82. Pravilnika</w:t>
            </w:r>
            <w:r w:rsidRPr="000F76CD">
              <w:rPr>
                <w:rFonts w:ascii="Times New Roman" w:hAnsi="Times New Roman" w:cs="Times New Roman"/>
              </w:rPr>
              <w:t xml:space="preserve"> </w:t>
            </w:r>
            <w:r w:rsidRPr="000F76CD">
              <w:rPr>
                <w:rFonts w:ascii="Times New Roman" w:hAnsi="Times New Roman" w:cs="Times New Roman"/>
                <w:color w:val="000000"/>
              </w:rPr>
              <w:t>o proračunskom računovodstvu i računskom planu</w:t>
            </w:r>
          </w:p>
        </w:tc>
        <w:tc>
          <w:tcPr>
            <w:tcW w:w="0" w:type="auto"/>
            <w:vAlign w:val="center"/>
          </w:tcPr>
          <w:p w:rsidR="00A208BB" w:rsidRPr="009D41FE" w:rsidRDefault="002F1DE3" w:rsidP="00E76D9E">
            <w:pPr>
              <w:pStyle w:val="Odlomakpopisa"/>
              <w:numPr>
                <w:ilvl w:val="0"/>
                <w:numId w:val="19"/>
              </w:num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1.577,4</w:t>
            </w:r>
            <w:r w:rsidR="00E76D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68" w:type="dxa"/>
            <w:vAlign w:val="center"/>
          </w:tcPr>
          <w:p w:rsidR="00A208BB" w:rsidRPr="000F76CD" w:rsidRDefault="002F1DE3" w:rsidP="00E76D9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1.577,4</w:t>
            </w:r>
            <w:r w:rsidR="00E76D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24" w:type="dxa"/>
            <w:vAlign w:val="center"/>
          </w:tcPr>
          <w:p w:rsidR="00A208BB" w:rsidRPr="000F76CD" w:rsidRDefault="009D41FE" w:rsidP="00A208B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208BB" w:rsidRPr="000F76CD" w:rsidTr="00F31376">
        <w:tc>
          <w:tcPr>
            <w:tcW w:w="0" w:type="auto"/>
            <w:shd w:val="clear" w:color="auto" w:fill="D9D9D9" w:themeFill="background1" w:themeFillShade="D9"/>
            <w:vAlign w:val="center"/>
          </w:tcPr>
          <w:p w:rsidR="00A208BB" w:rsidRPr="000F76CD" w:rsidRDefault="00A208BB" w:rsidP="000652B5">
            <w:pPr>
              <w:rPr>
                <w:rFonts w:ascii="Times New Roman" w:hAnsi="Times New Roman" w:cs="Times New Roman"/>
              </w:rPr>
            </w:pPr>
            <w:r w:rsidRPr="000F76CD">
              <w:rPr>
                <w:rFonts w:ascii="Times New Roman" w:hAnsi="Times New Roman" w:cs="Times New Roman"/>
              </w:rPr>
              <w:t>Rezultat na dan 31.12.202</w:t>
            </w:r>
            <w:r w:rsidR="000652B5">
              <w:rPr>
                <w:rFonts w:ascii="Times New Roman" w:hAnsi="Times New Roman" w:cs="Times New Roman"/>
              </w:rPr>
              <w:t>3</w:t>
            </w:r>
            <w:r w:rsidRPr="000F76CD">
              <w:rPr>
                <w:rFonts w:ascii="Times New Roman" w:hAnsi="Times New Roman" w:cs="Times New Roman"/>
              </w:rPr>
              <w:t xml:space="preserve">. (kolona: Stanje </w:t>
            </w:r>
            <w:r>
              <w:rPr>
                <w:rFonts w:ascii="Times New Roman" w:hAnsi="Times New Roman" w:cs="Times New Roman"/>
              </w:rPr>
              <w:t>31. prosinca</w:t>
            </w:r>
            <w:r w:rsidRPr="000F76C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račun 922</w:t>
            </w:r>
            <w:r w:rsidRPr="000F76CD">
              <w:rPr>
                <w:rFonts w:ascii="Times New Roman" w:hAnsi="Times New Roman" w:cs="Times New Roman"/>
              </w:rPr>
              <w:t xml:space="preserve"> do </w:t>
            </w:r>
            <w:r>
              <w:rPr>
                <w:rFonts w:ascii="Times New Roman" w:hAnsi="Times New Roman" w:cs="Times New Roman"/>
              </w:rPr>
              <w:t>92223</w:t>
            </w:r>
            <w:r w:rsidRPr="000F76C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104E7" w:rsidRDefault="00F104E7" w:rsidP="00A208BB">
            <w:pPr>
              <w:jc w:val="right"/>
              <w:rPr>
                <w:rFonts w:ascii="Times New Roman" w:hAnsi="Times New Roman" w:cs="Times New Roman"/>
              </w:rPr>
            </w:pPr>
          </w:p>
          <w:p w:rsidR="00A208BB" w:rsidRDefault="00F104E7" w:rsidP="00A208B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37.680,2</w:t>
            </w:r>
            <w:r w:rsidR="00E76D9E">
              <w:rPr>
                <w:rFonts w:ascii="Times New Roman" w:hAnsi="Times New Roman" w:cs="Times New Roman"/>
              </w:rPr>
              <w:t>7</w:t>
            </w:r>
          </w:p>
          <w:p w:rsidR="00E23167" w:rsidRPr="000F76CD" w:rsidRDefault="00E23167" w:rsidP="00A208B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shd w:val="clear" w:color="auto" w:fill="D9D9D9" w:themeFill="background1" w:themeFillShade="D9"/>
            <w:vAlign w:val="center"/>
          </w:tcPr>
          <w:p w:rsidR="00A208BB" w:rsidRPr="000F76CD" w:rsidRDefault="00F104E7" w:rsidP="00A208B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-420,01</w:t>
            </w:r>
          </w:p>
        </w:tc>
        <w:tc>
          <w:tcPr>
            <w:tcW w:w="1524" w:type="dxa"/>
            <w:shd w:val="clear" w:color="auto" w:fill="D9D9D9" w:themeFill="background1" w:themeFillShade="D9"/>
            <w:vAlign w:val="center"/>
          </w:tcPr>
          <w:p w:rsidR="00A208BB" w:rsidRPr="000F76CD" w:rsidRDefault="00F104E7" w:rsidP="00E76D9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37.260,2</w:t>
            </w:r>
            <w:r w:rsidR="00E76D9E">
              <w:rPr>
                <w:rFonts w:ascii="Times New Roman" w:hAnsi="Times New Roman" w:cs="Times New Roman"/>
              </w:rPr>
              <w:t>6</w:t>
            </w:r>
          </w:p>
        </w:tc>
      </w:tr>
    </w:tbl>
    <w:p w:rsidR="00D0631D" w:rsidRDefault="00D0631D" w:rsidP="00D063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31D" w:rsidRDefault="00D0631D" w:rsidP="00D063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C55" w:rsidRDefault="00D0631D" w:rsidP="00D063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872">
        <w:rPr>
          <w:rFonts w:ascii="Times New Roman" w:hAnsi="Times New Roman" w:cs="Times New Roman"/>
          <w:b/>
          <w:sz w:val="24"/>
          <w:szCs w:val="24"/>
        </w:rPr>
        <w:t>Bilješka broj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1FCD">
        <w:rPr>
          <w:rFonts w:ascii="Times New Roman" w:hAnsi="Times New Roman" w:cs="Times New Roman"/>
          <w:b/>
          <w:sz w:val="24"/>
          <w:szCs w:val="24"/>
        </w:rPr>
        <w:t>9</w:t>
      </w:r>
    </w:p>
    <w:p w:rsidR="00D0631D" w:rsidRDefault="00D0631D" w:rsidP="00D06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Šifra 991 i šifra 996 - iskazani su </w:t>
      </w:r>
      <w:proofErr w:type="spellStart"/>
      <w:r>
        <w:rPr>
          <w:rFonts w:ascii="Times New Roman" w:hAnsi="Times New Roman" w:cs="Times New Roman"/>
          <w:sz w:val="24"/>
          <w:szCs w:val="24"/>
        </w:rPr>
        <w:t>izvanbilančni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zapisi (aktiva/pasiva) koji n</w:t>
      </w:r>
      <w:r w:rsidRPr="00C32E96">
        <w:rPr>
          <w:rFonts w:ascii="Times New Roman" w:hAnsi="Times New Roman" w:cs="Times New Roman"/>
          <w:sz w:val="24"/>
          <w:szCs w:val="24"/>
        </w:rPr>
        <w:t>a kraju proračunske godine</w:t>
      </w:r>
      <w:r>
        <w:rPr>
          <w:rFonts w:ascii="Times New Roman" w:hAnsi="Times New Roman" w:cs="Times New Roman"/>
          <w:sz w:val="24"/>
          <w:szCs w:val="24"/>
        </w:rPr>
        <w:t xml:space="preserve"> iznose </w:t>
      </w:r>
      <w:r w:rsidR="00E23167">
        <w:rPr>
          <w:rFonts w:ascii="Times New Roman" w:hAnsi="Times New Roman" w:cs="Times New Roman"/>
          <w:sz w:val="24"/>
          <w:szCs w:val="24"/>
        </w:rPr>
        <w:t>35.075,74 eura</w:t>
      </w:r>
      <w:r>
        <w:rPr>
          <w:rFonts w:ascii="Times New Roman" w:hAnsi="Times New Roman" w:cs="Times New Roman"/>
          <w:sz w:val="24"/>
          <w:szCs w:val="24"/>
        </w:rPr>
        <w:t>, a uključuju:</w:t>
      </w:r>
    </w:p>
    <w:p w:rsidR="00D0631D" w:rsidRPr="00BE36AB" w:rsidRDefault="00D0631D" w:rsidP="004E061D">
      <w:pPr>
        <w:pStyle w:val="Odlomakpopis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6AB">
        <w:rPr>
          <w:rFonts w:ascii="Times New Roman" w:hAnsi="Times New Roman" w:cs="Times New Roman"/>
          <w:sz w:val="24"/>
          <w:szCs w:val="24"/>
        </w:rPr>
        <w:t>tuđu imovinu dobivenu na korištenje</w:t>
      </w:r>
      <w:r w:rsidR="00F36A8C" w:rsidRPr="00BE36AB">
        <w:rPr>
          <w:rFonts w:ascii="Times New Roman" w:hAnsi="Times New Roman" w:cs="Times New Roman"/>
          <w:sz w:val="24"/>
          <w:szCs w:val="24"/>
        </w:rPr>
        <w:t xml:space="preserve"> </w:t>
      </w:r>
      <w:r w:rsidRPr="00BE36AB">
        <w:rPr>
          <w:rFonts w:ascii="Times New Roman" w:hAnsi="Times New Roman" w:cs="Times New Roman"/>
          <w:sz w:val="24"/>
          <w:szCs w:val="24"/>
        </w:rPr>
        <w:t xml:space="preserve">: </w:t>
      </w:r>
      <w:r w:rsidR="00801C55">
        <w:rPr>
          <w:rFonts w:ascii="Times New Roman" w:hAnsi="Times New Roman" w:cs="Times New Roman"/>
          <w:sz w:val="24"/>
          <w:szCs w:val="24"/>
        </w:rPr>
        <w:t>29</w:t>
      </w:r>
      <w:r w:rsidRPr="00BE36AB">
        <w:rPr>
          <w:rFonts w:ascii="Times New Roman" w:hAnsi="Times New Roman" w:cs="Times New Roman"/>
          <w:sz w:val="24"/>
          <w:szCs w:val="24"/>
        </w:rPr>
        <w:t xml:space="preserve"> prijenosnih računala</w:t>
      </w:r>
      <w:r w:rsidR="00801C55">
        <w:rPr>
          <w:rFonts w:ascii="Times New Roman" w:hAnsi="Times New Roman" w:cs="Times New Roman"/>
          <w:sz w:val="24"/>
          <w:szCs w:val="24"/>
        </w:rPr>
        <w:t xml:space="preserve"> za nastavnike, 20 prijenosnih računala za učenike- kabinet računalstva, 3 stolna računala, 1 ormar za punjenje laptopa,</w:t>
      </w:r>
      <w:r w:rsidRPr="00BE36AB">
        <w:rPr>
          <w:rFonts w:ascii="Times New Roman" w:hAnsi="Times New Roman" w:cs="Times New Roman"/>
          <w:sz w:val="24"/>
          <w:szCs w:val="24"/>
        </w:rPr>
        <w:t xml:space="preserve"> </w:t>
      </w:r>
      <w:r w:rsidR="00801C55">
        <w:rPr>
          <w:rFonts w:ascii="Times New Roman" w:hAnsi="Times New Roman" w:cs="Times New Roman"/>
          <w:sz w:val="24"/>
          <w:szCs w:val="24"/>
        </w:rPr>
        <w:t xml:space="preserve">1 interaktivni zaslon s funkcijom dodira, </w:t>
      </w:r>
      <w:r w:rsidRPr="00BE36AB">
        <w:rPr>
          <w:rFonts w:ascii="Times New Roman" w:hAnsi="Times New Roman" w:cs="Times New Roman"/>
          <w:sz w:val="24"/>
          <w:szCs w:val="24"/>
        </w:rPr>
        <w:t xml:space="preserve">dobivenih na korištenje od </w:t>
      </w:r>
      <w:proofErr w:type="spellStart"/>
      <w:r w:rsidRPr="00BE36AB">
        <w:rPr>
          <w:rFonts w:ascii="Times New Roman" w:hAnsi="Times New Roman" w:cs="Times New Roman"/>
          <w:sz w:val="24"/>
          <w:szCs w:val="24"/>
        </w:rPr>
        <w:t>Carnet</w:t>
      </w:r>
      <w:proofErr w:type="spellEnd"/>
      <w:r w:rsidRPr="00BE36AB">
        <w:rPr>
          <w:rFonts w:ascii="Times New Roman" w:hAnsi="Times New Roman" w:cs="Times New Roman"/>
          <w:sz w:val="24"/>
          <w:szCs w:val="24"/>
        </w:rPr>
        <w:t xml:space="preserve">-a pri provedbi projekta e-Škola  </w:t>
      </w:r>
    </w:p>
    <w:p w:rsidR="004E1DBB" w:rsidRDefault="004E1D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D1D36" w:rsidRPr="001803BF" w:rsidRDefault="00277D4C" w:rsidP="00277D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03B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BILJEŠKE UZ </w:t>
      </w:r>
      <w:r w:rsidR="00C940F2" w:rsidRPr="001803BF">
        <w:rPr>
          <w:rFonts w:ascii="Times New Roman" w:hAnsi="Times New Roman" w:cs="Times New Roman"/>
          <w:b/>
          <w:sz w:val="24"/>
          <w:szCs w:val="24"/>
        </w:rPr>
        <w:t xml:space="preserve">IZVJEŠTAJ O PRIHODIMA I RASHODIMA, PRIMICIMA I IZDACIMA </w:t>
      </w:r>
    </w:p>
    <w:p w:rsidR="00277D4C" w:rsidRPr="001803BF" w:rsidRDefault="00277D4C" w:rsidP="00277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3BF" w:rsidRPr="00993980" w:rsidRDefault="00A12A1F" w:rsidP="00180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Bilješka broj </w:t>
      </w:r>
      <w:r w:rsidR="001803BF" w:rsidRPr="00993980">
        <w:rPr>
          <w:rFonts w:ascii="Times New Roman" w:hAnsi="Times New Roman" w:cs="Times New Roman"/>
          <w:b/>
          <w:sz w:val="24"/>
          <w:szCs w:val="24"/>
        </w:rPr>
        <w:t>1</w:t>
      </w:r>
    </w:p>
    <w:p w:rsidR="004A304C" w:rsidRDefault="00666D90" w:rsidP="00666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D90">
        <w:rPr>
          <w:rFonts w:ascii="Times New Roman" w:hAnsi="Times New Roman" w:cs="Times New Roman"/>
          <w:sz w:val="24"/>
          <w:szCs w:val="24"/>
        </w:rPr>
        <w:t>U izvještajnom razdoblju ostvareni su ukupni prihodi i primici (šifra X678) u iznosu od</w:t>
      </w:r>
    </w:p>
    <w:p w:rsidR="00666D90" w:rsidRPr="00666D90" w:rsidRDefault="00476AA4" w:rsidP="00666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899.918,55 eura</w:t>
      </w:r>
      <w:r w:rsidR="00666D90" w:rsidRPr="00666D90">
        <w:rPr>
          <w:rFonts w:ascii="Times New Roman" w:hAnsi="Times New Roman" w:cs="Times New Roman"/>
          <w:sz w:val="24"/>
          <w:szCs w:val="24"/>
        </w:rPr>
        <w:t xml:space="preserve"> ili 1</w:t>
      </w:r>
      <w:r>
        <w:rPr>
          <w:rFonts w:ascii="Times New Roman" w:hAnsi="Times New Roman" w:cs="Times New Roman"/>
          <w:sz w:val="24"/>
          <w:szCs w:val="24"/>
        </w:rPr>
        <w:t>7,3</w:t>
      </w:r>
      <w:r w:rsidR="004A304C">
        <w:rPr>
          <w:rFonts w:ascii="Times New Roman" w:hAnsi="Times New Roman" w:cs="Times New Roman"/>
          <w:sz w:val="24"/>
          <w:szCs w:val="24"/>
        </w:rPr>
        <w:t xml:space="preserve"> </w:t>
      </w:r>
      <w:r w:rsidR="00666D90" w:rsidRPr="00666D90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više</w:t>
      </w:r>
      <w:r w:rsidR="00666D90" w:rsidRPr="00666D90">
        <w:rPr>
          <w:rFonts w:ascii="Times New Roman" w:hAnsi="Times New Roman" w:cs="Times New Roman"/>
          <w:sz w:val="24"/>
          <w:szCs w:val="24"/>
        </w:rPr>
        <w:t xml:space="preserve"> u odnosu na ostvarenje siječanj – </w:t>
      </w:r>
      <w:r w:rsidR="00E87BE7">
        <w:rPr>
          <w:rFonts w:ascii="Times New Roman" w:hAnsi="Times New Roman" w:cs="Times New Roman"/>
          <w:sz w:val="24"/>
          <w:szCs w:val="24"/>
        </w:rPr>
        <w:t>prosinac</w:t>
      </w:r>
      <w:r w:rsidR="00666D90" w:rsidRPr="00666D90">
        <w:rPr>
          <w:rFonts w:ascii="Times New Roman" w:hAnsi="Times New Roman" w:cs="Times New Roman"/>
          <w:sz w:val="24"/>
          <w:szCs w:val="24"/>
        </w:rPr>
        <w:t xml:space="preserve"> u prethodnoj godini. </w:t>
      </w:r>
    </w:p>
    <w:p w:rsidR="00666D90" w:rsidRPr="00666D90" w:rsidRDefault="00666D90" w:rsidP="00666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D90">
        <w:rPr>
          <w:rFonts w:ascii="Times New Roman" w:hAnsi="Times New Roman" w:cs="Times New Roman"/>
          <w:sz w:val="24"/>
          <w:szCs w:val="24"/>
        </w:rPr>
        <w:t>Prihodi su ostvareni od pomoći MZO-a za plaće i materijalne rashode (</w:t>
      </w:r>
      <w:r w:rsidR="00476AA4">
        <w:rPr>
          <w:rFonts w:ascii="Times New Roman" w:hAnsi="Times New Roman" w:cs="Times New Roman"/>
          <w:sz w:val="24"/>
          <w:szCs w:val="24"/>
        </w:rPr>
        <w:t>804.702,20 eura</w:t>
      </w:r>
      <w:r w:rsidRPr="00666D90">
        <w:rPr>
          <w:rFonts w:ascii="Times New Roman" w:hAnsi="Times New Roman" w:cs="Times New Roman"/>
          <w:sz w:val="24"/>
          <w:szCs w:val="24"/>
        </w:rPr>
        <w:t xml:space="preserve">), </w:t>
      </w:r>
      <w:r w:rsidR="00E87BE7" w:rsidRPr="00065577">
        <w:rPr>
          <w:rFonts w:ascii="Times New Roman" w:hAnsi="Times New Roman" w:cs="Times New Roman"/>
          <w:sz w:val="24"/>
          <w:szCs w:val="24"/>
        </w:rPr>
        <w:t xml:space="preserve">kapitalne pomoći </w:t>
      </w:r>
      <w:r w:rsidR="00E87BE7" w:rsidRPr="00AF5FFC">
        <w:rPr>
          <w:rFonts w:ascii="Times New Roman" w:hAnsi="Times New Roman" w:cs="Times New Roman"/>
          <w:sz w:val="24"/>
          <w:szCs w:val="24"/>
        </w:rPr>
        <w:t>MZO-a</w:t>
      </w:r>
      <w:r w:rsidR="00E87BE7">
        <w:rPr>
          <w:rFonts w:ascii="Times New Roman" w:hAnsi="Times New Roman" w:cs="Times New Roman"/>
          <w:sz w:val="24"/>
          <w:szCs w:val="24"/>
        </w:rPr>
        <w:t xml:space="preserve"> (</w:t>
      </w:r>
      <w:r w:rsidR="00476AA4">
        <w:rPr>
          <w:rFonts w:ascii="Times New Roman" w:hAnsi="Times New Roman" w:cs="Times New Roman"/>
          <w:sz w:val="24"/>
          <w:szCs w:val="24"/>
        </w:rPr>
        <w:t>531,00 eura</w:t>
      </w:r>
      <w:r w:rsidR="00E87BE7">
        <w:rPr>
          <w:rFonts w:ascii="Times New Roman" w:hAnsi="Times New Roman" w:cs="Times New Roman"/>
          <w:sz w:val="24"/>
          <w:szCs w:val="24"/>
        </w:rPr>
        <w:t xml:space="preserve">), </w:t>
      </w:r>
      <w:r w:rsidRPr="00666D90">
        <w:rPr>
          <w:rFonts w:ascii="Times New Roman" w:hAnsi="Times New Roman" w:cs="Times New Roman"/>
          <w:sz w:val="24"/>
          <w:szCs w:val="24"/>
        </w:rPr>
        <w:t xml:space="preserve">tekuće pomoći </w:t>
      </w:r>
      <w:r w:rsidR="004A304C">
        <w:rPr>
          <w:rFonts w:ascii="Times New Roman" w:hAnsi="Times New Roman" w:cs="Times New Roman"/>
          <w:sz w:val="24"/>
          <w:szCs w:val="24"/>
        </w:rPr>
        <w:t>Grada Opatije</w:t>
      </w:r>
      <w:r w:rsidRPr="00666D90">
        <w:rPr>
          <w:rFonts w:ascii="Times New Roman" w:hAnsi="Times New Roman" w:cs="Times New Roman"/>
          <w:sz w:val="24"/>
          <w:szCs w:val="24"/>
        </w:rPr>
        <w:t xml:space="preserve"> (</w:t>
      </w:r>
      <w:r w:rsidR="00476AA4">
        <w:rPr>
          <w:rFonts w:ascii="Times New Roman" w:hAnsi="Times New Roman" w:cs="Times New Roman"/>
          <w:sz w:val="24"/>
          <w:szCs w:val="24"/>
        </w:rPr>
        <w:t>1.327,23 eura</w:t>
      </w:r>
      <w:r w:rsidRPr="00666D90">
        <w:rPr>
          <w:rFonts w:ascii="Times New Roman" w:hAnsi="Times New Roman" w:cs="Times New Roman"/>
          <w:sz w:val="24"/>
          <w:szCs w:val="24"/>
        </w:rPr>
        <w:t>), prihoda od kamata na depozite po viđenju (</w:t>
      </w:r>
      <w:r w:rsidR="00476AA4">
        <w:rPr>
          <w:rFonts w:ascii="Times New Roman" w:hAnsi="Times New Roman" w:cs="Times New Roman"/>
          <w:sz w:val="24"/>
          <w:szCs w:val="24"/>
        </w:rPr>
        <w:t>39,53 eura</w:t>
      </w:r>
      <w:r w:rsidRPr="00666D90">
        <w:rPr>
          <w:rFonts w:ascii="Times New Roman" w:hAnsi="Times New Roman" w:cs="Times New Roman"/>
          <w:sz w:val="24"/>
          <w:szCs w:val="24"/>
        </w:rPr>
        <w:t>), ostalih nespomenutih prihoda (</w:t>
      </w:r>
      <w:r w:rsidR="00476AA4">
        <w:rPr>
          <w:rFonts w:ascii="Times New Roman" w:hAnsi="Times New Roman" w:cs="Times New Roman"/>
          <w:sz w:val="24"/>
          <w:szCs w:val="24"/>
        </w:rPr>
        <w:t>4.910,22 eura</w:t>
      </w:r>
      <w:r w:rsidRPr="00666D90">
        <w:rPr>
          <w:rFonts w:ascii="Times New Roman" w:hAnsi="Times New Roman" w:cs="Times New Roman"/>
          <w:sz w:val="24"/>
          <w:szCs w:val="24"/>
        </w:rPr>
        <w:t>), prihoda od pruženih usluga (</w:t>
      </w:r>
      <w:r w:rsidR="00476AA4">
        <w:rPr>
          <w:rFonts w:ascii="Times New Roman" w:hAnsi="Times New Roman" w:cs="Times New Roman"/>
          <w:sz w:val="24"/>
          <w:szCs w:val="24"/>
        </w:rPr>
        <w:t>1.953,49 eura</w:t>
      </w:r>
      <w:r w:rsidRPr="00666D90">
        <w:rPr>
          <w:rFonts w:ascii="Times New Roman" w:hAnsi="Times New Roman" w:cs="Times New Roman"/>
          <w:sz w:val="24"/>
          <w:szCs w:val="24"/>
        </w:rPr>
        <w:t xml:space="preserve">), </w:t>
      </w:r>
      <w:r w:rsidR="00476AA4">
        <w:rPr>
          <w:rFonts w:ascii="Times New Roman" w:hAnsi="Times New Roman" w:cs="Times New Roman"/>
          <w:sz w:val="24"/>
          <w:szCs w:val="24"/>
        </w:rPr>
        <w:t xml:space="preserve">prihoda od donacija (1.000,00 eura), </w:t>
      </w:r>
      <w:r w:rsidRPr="00666D90">
        <w:rPr>
          <w:rFonts w:ascii="Times New Roman" w:hAnsi="Times New Roman" w:cs="Times New Roman"/>
          <w:sz w:val="24"/>
          <w:szCs w:val="24"/>
        </w:rPr>
        <w:t xml:space="preserve">prihoda od PGŽ za </w:t>
      </w:r>
      <w:r w:rsidR="008C2221">
        <w:rPr>
          <w:rFonts w:ascii="Times New Roman" w:hAnsi="Times New Roman" w:cs="Times New Roman"/>
          <w:sz w:val="24"/>
          <w:szCs w:val="24"/>
        </w:rPr>
        <w:t>financiranje rashoda poslovanja (84.408,40 eura) i prihoda od PGŽ za financiranje rashoda za nabavu nefinancijske imovine (1.046,48 eura)</w:t>
      </w:r>
      <w:r w:rsidRPr="00666D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D90" w:rsidRPr="00E87BE7" w:rsidRDefault="00666D90" w:rsidP="004A3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D90">
        <w:rPr>
          <w:rFonts w:ascii="Times New Roman" w:hAnsi="Times New Roman" w:cs="Times New Roman"/>
          <w:sz w:val="24"/>
          <w:szCs w:val="24"/>
        </w:rPr>
        <w:t xml:space="preserve">Najveća odstupanja u odnosu na siječanj - </w:t>
      </w:r>
      <w:r w:rsidR="00E87BE7">
        <w:rPr>
          <w:rFonts w:ascii="Times New Roman" w:hAnsi="Times New Roman" w:cs="Times New Roman"/>
          <w:sz w:val="24"/>
          <w:szCs w:val="24"/>
        </w:rPr>
        <w:t>prosinac</w:t>
      </w:r>
      <w:r w:rsidRPr="00666D90">
        <w:rPr>
          <w:rFonts w:ascii="Times New Roman" w:hAnsi="Times New Roman" w:cs="Times New Roman"/>
          <w:sz w:val="24"/>
          <w:szCs w:val="24"/>
        </w:rPr>
        <w:t xml:space="preserve"> prethodne godine odnose se na sljedeće prihode:</w:t>
      </w:r>
    </w:p>
    <w:p w:rsidR="00F71BD2" w:rsidRPr="008C2221" w:rsidRDefault="00D1498B" w:rsidP="003E2771">
      <w:pPr>
        <w:pStyle w:val="Odlomakpopisa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C2221">
        <w:rPr>
          <w:rFonts w:ascii="Times New Roman" w:hAnsi="Times New Roman" w:cs="Times New Roman"/>
          <w:sz w:val="24"/>
          <w:szCs w:val="24"/>
        </w:rPr>
        <w:t>šifra</w:t>
      </w:r>
      <w:r w:rsidR="00666D90" w:rsidRPr="008C2221">
        <w:rPr>
          <w:rFonts w:ascii="Times New Roman" w:hAnsi="Times New Roman" w:cs="Times New Roman"/>
          <w:sz w:val="24"/>
          <w:szCs w:val="24"/>
        </w:rPr>
        <w:t xml:space="preserve"> 6</w:t>
      </w:r>
      <w:r w:rsidR="00F72BA4" w:rsidRPr="008C2221">
        <w:rPr>
          <w:rFonts w:ascii="Times New Roman" w:hAnsi="Times New Roman" w:cs="Times New Roman"/>
          <w:sz w:val="24"/>
          <w:szCs w:val="24"/>
        </w:rPr>
        <w:t>36</w:t>
      </w:r>
      <w:r w:rsidR="008C2221" w:rsidRPr="008C2221">
        <w:rPr>
          <w:rFonts w:ascii="Times New Roman" w:hAnsi="Times New Roman" w:cs="Times New Roman"/>
          <w:sz w:val="24"/>
          <w:szCs w:val="24"/>
        </w:rPr>
        <w:t>1</w:t>
      </w:r>
      <w:r w:rsidR="00666D90" w:rsidRPr="008C2221">
        <w:rPr>
          <w:rFonts w:ascii="Times New Roman" w:hAnsi="Times New Roman" w:cs="Times New Roman"/>
          <w:sz w:val="24"/>
          <w:szCs w:val="24"/>
        </w:rPr>
        <w:t xml:space="preserve"> – </w:t>
      </w:r>
      <w:r w:rsidR="008C2221" w:rsidRPr="008C2221">
        <w:rPr>
          <w:rFonts w:ascii="Times New Roman" w:hAnsi="Times New Roman" w:cs="Times New Roman"/>
          <w:sz w:val="24"/>
          <w:szCs w:val="24"/>
        </w:rPr>
        <w:t>tekuće</w:t>
      </w:r>
      <w:r w:rsidR="00F72BA4" w:rsidRPr="008C2221">
        <w:rPr>
          <w:rFonts w:ascii="Times New Roman" w:hAnsi="Times New Roman" w:cs="Times New Roman"/>
          <w:sz w:val="24"/>
          <w:szCs w:val="24"/>
        </w:rPr>
        <w:t xml:space="preserve"> pomoći proračunskim korisnicima iz proračuna koji im nije nadležan (indeks </w:t>
      </w:r>
      <w:r w:rsidR="008C2221" w:rsidRPr="008C2221">
        <w:rPr>
          <w:rFonts w:ascii="Times New Roman" w:hAnsi="Times New Roman" w:cs="Times New Roman"/>
          <w:sz w:val="24"/>
          <w:szCs w:val="24"/>
        </w:rPr>
        <w:t>115,6</w:t>
      </w:r>
      <w:r w:rsidR="00F72BA4" w:rsidRPr="008C2221">
        <w:rPr>
          <w:rFonts w:ascii="Times New Roman" w:hAnsi="Times New Roman" w:cs="Times New Roman"/>
          <w:sz w:val="24"/>
          <w:szCs w:val="24"/>
        </w:rPr>
        <w:t xml:space="preserve">) – </w:t>
      </w:r>
      <w:r w:rsidR="00C50613" w:rsidRPr="008C2221">
        <w:rPr>
          <w:rFonts w:ascii="Times New Roman" w:hAnsi="Times New Roman" w:cs="Times New Roman"/>
          <w:sz w:val="24"/>
          <w:szCs w:val="24"/>
        </w:rPr>
        <w:t xml:space="preserve">ostvareni su </w:t>
      </w:r>
      <w:r w:rsidR="008C2221" w:rsidRPr="008C2221">
        <w:rPr>
          <w:rFonts w:ascii="Times New Roman" w:hAnsi="Times New Roman" w:cs="Times New Roman"/>
          <w:sz w:val="24"/>
          <w:szCs w:val="24"/>
        </w:rPr>
        <w:t>veći</w:t>
      </w:r>
      <w:r w:rsidR="00C50613" w:rsidRPr="008C2221">
        <w:rPr>
          <w:rFonts w:ascii="Times New Roman" w:hAnsi="Times New Roman" w:cs="Times New Roman"/>
          <w:sz w:val="24"/>
          <w:szCs w:val="24"/>
        </w:rPr>
        <w:t xml:space="preserve"> </w:t>
      </w:r>
      <w:r w:rsidR="00F72BA4" w:rsidRPr="008C2221">
        <w:rPr>
          <w:rFonts w:ascii="Times New Roman" w:hAnsi="Times New Roman" w:cs="Times New Roman"/>
          <w:sz w:val="24"/>
          <w:szCs w:val="24"/>
        </w:rPr>
        <w:t xml:space="preserve">prihodi </w:t>
      </w:r>
      <w:r w:rsidR="00C50613" w:rsidRPr="008C2221">
        <w:rPr>
          <w:rFonts w:ascii="Times New Roman" w:hAnsi="Times New Roman" w:cs="Times New Roman"/>
          <w:sz w:val="24"/>
          <w:szCs w:val="24"/>
        </w:rPr>
        <w:t>na temelju</w:t>
      </w:r>
      <w:r w:rsidR="00F72BA4" w:rsidRPr="008C2221">
        <w:rPr>
          <w:rFonts w:ascii="Times New Roman" w:hAnsi="Times New Roman" w:cs="Times New Roman"/>
          <w:sz w:val="24"/>
          <w:szCs w:val="24"/>
        </w:rPr>
        <w:t xml:space="preserve"> </w:t>
      </w:r>
      <w:r w:rsidR="008C2221" w:rsidRPr="008C2221">
        <w:rPr>
          <w:rFonts w:ascii="Times New Roman" w:hAnsi="Times New Roman" w:cs="Times New Roman"/>
          <w:sz w:val="24"/>
          <w:szCs w:val="24"/>
        </w:rPr>
        <w:t>povećanja plaća i</w:t>
      </w:r>
      <w:r w:rsidR="001A0AAF">
        <w:rPr>
          <w:rFonts w:ascii="Times New Roman" w:hAnsi="Times New Roman" w:cs="Times New Roman"/>
          <w:sz w:val="24"/>
          <w:szCs w:val="24"/>
        </w:rPr>
        <w:t xml:space="preserve"> </w:t>
      </w:r>
      <w:r w:rsidR="008C2221" w:rsidRPr="008C2221">
        <w:rPr>
          <w:rFonts w:ascii="Times New Roman" w:hAnsi="Times New Roman" w:cs="Times New Roman"/>
          <w:sz w:val="24"/>
          <w:szCs w:val="24"/>
        </w:rPr>
        <w:t>materijalnih prava u odnosu na prethodnu godinu</w:t>
      </w:r>
    </w:p>
    <w:p w:rsidR="00F71BD2" w:rsidRDefault="00F71BD2" w:rsidP="00E87BE7">
      <w:pPr>
        <w:pStyle w:val="Odlomakpopisa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šifra 6413 – Kamate na oročena sredstva i depozite po viđenju – ostvareni su </w:t>
      </w:r>
      <w:r w:rsidR="008C2221">
        <w:rPr>
          <w:rFonts w:ascii="Times New Roman" w:hAnsi="Times New Roman" w:cs="Times New Roman"/>
          <w:sz w:val="24"/>
          <w:szCs w:val="24"/>
        </w:rPr>
        <w:t>manji</w:t>
      </w:r>
      <w:r>
        <w:rPr>
          <w:rFonts w:ascii="Times New Roman" w:hAnsi="Times New Roman" w:cs="Times New Roman"/>
          <w:sz w:val="24"/>
          <w:szCs w:val="24"/>
        </w:rPr>
        <w:t xml:space="preserve"> prihodi (indeks </w:t>
      </w:r>
      <w:r w:rsidR="008C2221">
        <w:rPr>
          <w:rFonts w:ascii="Times New Roman" w:hAnsi="Times New Roman" w:cs="Times New Roman"/>
          <w:sz w:val="24"/>
          <w:szCs w:val="24"/>
        </w:rPr>
        <w:t>73,6</w:t>
      </w:r>
      <w:r>
        <w:rPr>
          <w:rFonts w:ascii="Times New Roman" w:hAnsi="Times New Roman" w:cs="Times New Roman"/>
          <w:sz w:val="24"/>
          <w:szCs w:val="24"/>
        </w:rPr>
        <w:t xml:space="preserve">) radi ostvarenog prihoda od prodaje zemljišta u prethodnoj godini, </w:t>
      </w:r>
      <w:r w:rsidR="008C2221">
        <w:rPr>
          <w:rFonts w:ascii="Times New Roman" w:hAnsi="Times New Roman" w:cs="Times New Roman"/>
          <w:sz w:val="24"/>
          <w:szCs w:val="24"/>
        </w:rPr>
        <w:t>dok u 2023. godini nije ostvaren prihod, a što j</w:t>
      </w:r>
      <w:r>
        <w:rPr>
          <w:rFonts w:ascii="Times New Roman" w:hAnsi="Times New Roman" w:cs="Times New Roman"/>
          <w:sz w:val="24"/>
          <w:szCs w:val="24"/>
        </w:rPr>
        <w:t xml:space="preserve">e rezultiralo znatno </w:t>
      </w:r>
      <w:r w:rsidR="008C2221">
        <w:rPr>
          <w:rFonts w:ascii="Times New Roman" w:hAnsi="Times New Roman" w:cs="Times New Roman"/>
          <w:sz w:val="24"/>
          <w:szCs w:val="24"/>
        </w:rPr>
        <w:t>manjim</w:t>
      </w:r>
      <w:r>
        <w:rPr>
          <w:rFonts w:ascii="Times New Roman" w:hAnsi="Times New Roman" w:cs="Times New Roman"/>
          <w:sz w:val="24"/>
          <w:szCs w:val="24"/>
        </w:rPr>
        <w:t xml:space="preserve"> mjesečnim iznosom pasivnih kamata u 202</w:t>
      </w:r>
      <w:r w:rsidR="001A0AA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1A0AAF">
        <w:rPr>
          <w:rFonts w:ascii="Times New Roman" w:hAnsi="Times New Roman" w:cs="Times New Roman"/>
          <w:sz w:val="24"/>
          <w:szCs w:val="24"/>
        </w:rPr>
        <w:t xml:space="preserve"> godini</w:t>
      </w:r>
    </w:p>
    <w:p w:rsidR="00F71BD2" w:rsidRPr="00E87BE7" w:rsidRDefault="00F71BD2" w:rsidP="00E87BE7">
      <w:pPr>
        <w:pStyle w:val="Odlomakpopisa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šifra 6526 – Ostali nespomenuti prihodi – ostvareni su veći prihodi (indeks </w:t>
      </w:r>
      <w:r w:rsidR="001A0AAF">
        <w:rPr>
          <w:rFonts w:ascii="Times New Roman" w:hAnsi="Times New Roman" w:cs="Times New Roman"/>
          <w:sz w:val="24"/>
          <w:szCs w:val="24"/>
        </w:rPr>
        <w:t>268,0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C94B50">
        <w:rPr>
          <w:rFonts w:ascii="Times New Roman" w:hAnsi="Times New Roman" w:cs="Times New Roman"/>
          <w:sz w:val="24"/>
          <w:szCs w:val="24"/>
        </w:rPr>
        <w:t xml:space="preserve">sufinanciranje cijene usluge smještaja (170,00 eura), </w:t>
      </w:r>
      <w:r w:rsidR="0086069F">
        <w:rPr>
          <w:rFonts w:ascii="Times New Roman" w:hAnsi="Times New Roman" w:cs="Times New Roman"/>
          <w:sz w:val="24"/>
          <w:szCs w:val="24"/>
        </w:rPr>
        <w:t>prihod</w:t>
      </w:r>
      <w:r w:rsidR="00C94B50">
        <w:rPr>
          <w:rFonts w:ascii="Times New Roman" w:hAnsi="Times New Roman" w:cs="Times New Roman"/>
          <w:sz w:val="24"/>
          <w:szCs w:val="24"/>
        </w:rPr>
        <w:t>i</w:t>
      </w:r>
      <w:r w:rsidR="0086069F">
        <w:rPr>
          <w:rFonts w:ascii="Times New Roman" w:hAnsi="Times New Roman" w:cs="Times New Roman"/>
          <w:sz w:val="24"/>
          <w:szCs w:val="24"/>
        </w:rPr>
        <w:t xml:space="preserve"> za sufinanciranje dnevnica pedagoške pratnje učenika</w:t>
      </w:r>
      <w:r w:rsidR="00C94B50">
        <w:rPr>
          <w:rFonts w:ascii="Times New Roman" w:hAnsi="Times New Roman" w:cs="Times New Roman"/>
          <w:sz w:val="24"/>
          <w:szCs w:val="24"/>
        </w:rPr>
        <w:t xml:space="preserve">  (2.032,59 eura)</w:t>
      </w:r>
      <w:r w:rsidR="0086069F">
        <w:rPr>
          <w:rFonts w:ascii="Times New Roman" w:hAnsi="Times New Roman" w:cs="Times New Roman"/>
          <w:sz w:val="24"/>
          <w:szCs w:val="24"/>
        </w:rPr>
        <w:t>,</w:t>
      </w:r>
      <w:r w:rsidR="00C94B50">
        <w:rPr>
          <w:rFonts w:ascii="Times New Roman" w:hAnsi="Times New Roman" w:cs="Times New Roman"/>
          <w:sz w:val="24"/>
          <w:szCs w:val="24"/>
        </w:rPr>
        <w:t xml:space="preserve"> te prihoda s naslova osiguranja- refundacija štete (2.707,63 eura)</w:t>
      </w:r>
      <w:r w:rsidR="0086069F">
        <w:rPr>
          <w:rFonts w:ascii="Times New Roman" w:hAnsi="Times New Roman" w:cs="Times New Roman"/>
          <w:sz w:val="24"/>
          <w:szCs w:val="24"/>
        </w:rPr>
        <w:t xml:space="preserve"> a što u prethodnoj godini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4B50">
        <w:rPr>
          <w:rFonts w:ascii="Times New Roman" w:hAnsi="Times New Roman" w:cs="Times New Roman"/>
          <w:sz w:val="24"/>
          <w:szCs w:val="24"/>
        </w:rPr>
        <w:t>nije ostvareno</w:t>
      </w:r>
    </w:p>
    <w:p w:rsidR="00666D90" w:rsidRPr="006D3C9E" w:rsidRDefault="00D1498B" w:rsidP="00F27A39">
      <w:pPr>
        <w:pStyle w:val="Odlomakpopisa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D3C9E">
        <w:rPr>
          <w:rFonts w:ascii="Times New Roman" w:hAnsi="Times New Roman" w:cs="Times New Roman"/>
          <w:sz w:val="24"/>
          <w:szCs w:val="24"/>
        </w:rPr>
        <w:t>šifra</w:t>
      </w:r>
      <w:r w:rsidR="00666D90" w:rsidRPr="006D3C9E">
        <w:rPr>
          <w:rFonts w:ascii="Times New Roman" w:hAnsi="Times New Roman" w:cs="Times New Roman"/>
          <w:sz w:val="24"/>
          <w:szCs w:val="24"/>
        </w:rPr>
        <w:t xml:space="preserve"> 66</w:t>
      </w:r>
      <w:r w:rsidR="00C94B50" w:rsidRPr="006D3C9E">
        <w:rPr>
          <w:rFonts w:ascii="Times New Roman" w:hAnsi="Times New Roman" w:cs="Times New Roman"/>
          <w:sz w:val="24"/>
          <w:szCs w:val="24"/>
        </w:rPr>
        <w:t>31</w:t>
      </w:r>
      <w:r w:rsidR="00666D90" w:rsidRPr="006D3C9E">
        <w:rPr>
          <w:rFonts w:ascii="Times New Roman" w:hAnsi="Times New Roman" w:cs="Times New Roman"/>
          <w:sz w:val="24"/>
          <w:szCs w:val="24"/>
        </w:rPr>
        <w:t xml:space="preserve"> – </w:t>
      </w:r>
      <w:r w:rsidR="00C94B50" w:rsidRPr="006D3C9E">
        <w:rPr>
          <w:rFonts w:ascii="Times New Roman" w:hAnsi="Times New Roman" w:cs="Times New Roman"/>
          <w:sz w:val="24"/>
          <w:szCs w:val="24"/>
        </w:rPr>
        <w:t>Tekuće donacije</w:t>
      </w:r>
      <w:r w:rsidR="00666D90" w:rsidRPr="006D3C9E">
        <w:rPr>
          <w:rFonts w:ascii="Times New Roman" w:hAnsi="Times New Roman" w:cs="Times New Roman"/>
          <w:sz w:val="24"/>
          <w:szCs w:val="24"/>
        </w:rPr>
        <w:t xml:space="preserve"> (indeks </w:t>
      </w:r>
      <w:r w:rsidR="00C94B50" w:rsidRPr="006D3C9E">
        <w:rPr>
          <w:rFonts w:ascii="Times New Roman" w:hAnsi="Times New Roman" w:cs="Times New Roman"/>
          <w:sz w:val="24"/>
          <w:szCs w:val="24"/>
        </w:rPr>
        <w:t>0,0</w:t>
      </w:r>
      <w:r w:rsidR="00666D90" w:rsidRPr="006D3C9E">
        <w:rPr>
          <w:rFonts w:ascii="Times New Roman" w:hAnsi="Times New Roman" w:cs="Times New Roman"/>
          <w:sz w:val="24"/>
          <w:szCs w:val="24"/>
        </w:rPr>
        <w:t xml:space="preserve">) – ostvareni su  prihodi od </w:t>
      </w:r>
      <w:r w:rsidR="00C94B50" w:rsidRPr="006D3C9E">
        <w:rPr>
          <w:rFonts w:ascii="Times New Roman" w:hAnsi="Times New Roman" w:cs="Times New Roman"/>
          <w:sz w:val="24"/>
          <w:szCs w:val="24"/>
        </w:rPr>
        <w:t>tekućih donacija</w:t>
      </w:r>
      <w:r w:rsidR="006D3C9E" w:rsidRPr="006D3C9E">
        <w:rPr>
          <w:rFonts w:ascii="Times New Roman" w:hAnsi="Times New Roman" w:cs="Times New Roman"/>
          <w:sz w:val="24"/>
          <w:szCs w:val="24"/>
        </w:rPr>
        <w:t>, a koji nisu ostvareni u prethodnoj godini. Donacije su ostvarene za osiguravanje uvjeta rada- obilježavanje godišnjice škole</w:t>
      </w:r>
    </w:p>
    <w:p w:rsidR="00666D90" w:rsidRDefault="00D1498B" w:rsidP="00E87BE7">
      <w:pPr>
        <w:pStyle w:val="Odlomakpopisa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</w:t>
      </w:r>
      <w:r w:rsidR="00666D90" w:rsidRPr="00E87BE7">
        <w:rPr>
          <w:rFonts w:ascii="Times New Roman" w:hAnsi="Times New Roman" w:cs="Times New Roman"/>
          <w:sz w:val="24"/>
          <w:szCs w:val="24"/>
        </w:rPr>
        <w:t xml:space="preserve"> 6711 – Prihodi iz nadležnog proračuna za financiranje rashoda poslovanja (indeks </w:t>
      </w:r>
      <w:r w:rsidR="00B900D3">
        <w:rPr>
          <w:rFonts w:ascii="Times New Roman" w:hAnsi="Times New Roman" w:cs="Times New Roman"/>
          <w:sz w:val="24"/>
          <w:szCs w:val="24"/>
        </w:rPr>
        <w:t>1</w:t>
      </w:r>
      <w:r w:rsidR="006D3C9E">
        <w:rPr>
          <w:rFonts w:ascii="Times New Roman" w:hAnsi="Times New Roman" w:cs="Times New Roman"/>
          <w:sz w:val="24"/>
          <w:szCs w:val="24"/>
        </w:rPr>
        <w:t>29,2</w:t>
      </w:r>
      <w:r w:rsidR="00666D90" w:rsidRPr="00E87BE7">
        <w:rPr>
          <w:rFonts w:ascii="Times New Roman" w:hAnsi="Times New Roman" w:cs="Times New Roman"/>
          <w:sz w:val="24"/>
          <w:szCs w:val="24"/>
        </w:rPr>
        <w:t xml:space="preserve">)  povećanje prihoda iz Županijskog proračuna je rezultat </w:t>
      </w:r>
      <w:r w:rsidR="00F72BA4" w:rsidRPr="00F72BA4">
        <w:rPr>
          <w:rFonts w:ascii="Times New Roman" w:hAnsi="Times New Roman" w:cs="Times New Roman"/>
          <w:sz w:val="24"/>
          <w:szCs w:val="24"/>
        </w:rPr>
        <w:t xml:space="preserve">Odluke Župana Primorsko-goranske županije </w:t>
      </w:r>
      <w:r w:rsidR="006D3C9E">
        <w:rPr>
          <w:rFonts w:ascii="Times New Roman" w:hAnsi="Times New Roman" w:cs="Times New Roman"/>
          <w:sz w:val="24"/>
          <w:szCs w:val="24"/>
        </w:rPr>
        <w:t>za 2023. godinu, prihoda za financiranje – osiguravanje uvjeta rada i</w:t>
      </w:r>
      <w:r w:rsidR="00666D90" w:rsidRPr="00E87BE7">
        <w:rPr>
          <w:rFonts w:ascii="Times New Roman" w:hAnsi="Times New Roman" w:cs="Times New Roman"/>
          <w:sz w:val="24"/>
          <w:szCs w:val="24"/>
        </w:rPr>
        <w:t xml:space="preserve"> </w:t>
      </w:r>
      <w:r w:rsidR="001B61A2">
        <w:rPr>
          <w:rFonts w:ascii="Times New Roman" w:hAnsi="Times New Roman" w:cs="Times New Roman"/>
          <w:sz w:val="24"/>
          <w:szCs w:val="24"/>
        </w:rPr>
        <w:t>prihoda</w:t>
      </w:r>
      <w:r w:rsidR="00666D90" w:rsidRPr="00E87BE7">
        <w:rPr>
          <w:rFonts w:ascii="Times New Roman" w:hAnsi="Times New Roman" w:cs="Times New Roman"/>
          <w:sz w:val="24"/>
          <w:szCs w:val="24"/>
        </w:rPr>
        <w:t xml:space="preserve"> za financiranje </w:t>
      </w:r>
      <w:r w:rsidR="00B900D3">
        <w:rPr>
          <w:rFonts w:ascii="Times New Roman" w:hAnsi="Times New Roman" w:cs="Times New Roman"/>
          <w:sz w:val="24"/>
          <w:szCs w:val="24"/>
        </w:rPr>
        <w:t>programa prema kurikulumu</w:t>
      </w:r>
    </w:p>
    <w:p w:rsidR="00F72BA4" w:rsidRPr="00E87BE7" w:rsidRDefault="00D1498B" w:rsidP="00E87BE7">
      <w:pPr>
        <w:pStyle w:val="Odlomakpopisa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</w:t>
      </w:r>
      <w:r w:rsidR="00F72BA4" w:rsidRPr="00E87BE7">
        <w:rPr>
          <w:rFonts w:ascii="Times New Roman" w:hAnsi="Times New Roman" w:cs="Times New Roman"/>
          <w:sz w:val="24"/>
          <w:szCs w:val="24"/>
        </w:rPr>
        <w:t xml:space="preserve"> 671</w:t>
      </w:r>
      <w:r w:rsidR="00F72BA4">
        <w:rPr>
          <w:rFonts w:ascii="Times New Roman" w:hAnsi="Times New Roman" w:cs="Times New Roman"/>
          <w:sz w:val="24"/>
          <w:szCs w:val="24"/>
        </w:rPr>
        <w:t>2</w:t>
      </w:r>
      <w:r w:rsidR="00F72BA4" w:rsidRPr="00E87BE7">
        <w:rPr>
          <w:rFonts w:ascii="Times New Roman" w:hAnsi="Times New Roman" w:cs="Times New Roman"/>
          <w:sz w:val="24"/>
          <w:szCs w:val="24"/>
        </w:rPr>
        <w:t xml:space="preserve"> – Prihodi iz nadležnog proračuna za financiranje rashoda </w:t>
      </w:r>
      <w:r w:rsidR="00F72BA4">
        <w:rPr>
          <w:rFonts w:ascii="Times New Roman" w:hAnsi="Times New Roman" w:cs="Times New Roman"/>
          <w:sz w:val="24"/>
          <w:szCs w:val="24"/>
        </w:rPr>
        <w:t>za nabavu nefinancijske imovine</w:t>
      </w:r>
      <w:r w:rsidR="00F72BA4" w:rsidRPr="00E87BE7">
        <w:rPr>
          <w:rFonts w:ascii="Times New Roman" w:hAnsi="Times New Roman" w:cs="Times New Roman"/>
          <w:sz w:val="24"/>
          <w:szCs w:val="24"/>
        </w:rPr>
        <w:t xml:space="preserve"> (indeks </w:t>
      </w:r>
      <w:r w:rsidR="00B900D3">
        <w:rPr>
          <w:rFonts w:ascii="Times New Roman" w:hAnsi="Times New Roman" w:cs="Times New Roman"/>
          <w:sz w:val="24"/>
          <w:szCs w:val="24"/>
        </w:rPr>
        <w:t>0,0</w:t>
      </w:r>
      <w:r w:rsidR="00F72BA4" w:rsidRPr="00E87BE7">
        <w:rPr>
          <w:rFonts w:ascii="Times New Roman" w:hAnsi="Times New Roman" w:cs="Times New Roman"/>
          <w:sz w:val="24"/>
          <w:szCs w:val="24"/>
        </w:rPr>
        <w:t>) –</w:t>
      </w:r>
      <w:r w:rsidR="00C50613" w:rsidRPr="00C50613">
        <w:rPr>
          <w:rFonts w:ascii="Times New Roman" w:hAnsi="Times New Roman" w:cs="Times New Roman"/>
          <w:sz w:val="24"/>
          <w:szCs w:val="24"/>
        </w:rPr>
        <w:t xml:space="preserve"> </w:t>
      </w:r>
      <w:r w:rsidR="00B900D3">
        <w:rPr>
          <w:rFonts w:ascii="Times New Roman" w:hAnsi="Times New Roman" w:cs="Times New Roman"/>
          <w:sz w:val="24"/>
          <w:szCs w:val="24"/>
        </w:rPr>
        <w:t>u 202</w:t>
      </w:r>
      <w:r w:rsidR="006D3C9E">
        <w:rPr>
          <w:rFonts w:ascii="Times New Roman" w:hAnsi="Times New Roman" w:cs="Times New Roman"/>
          <w:sz w:val="24"/>
          <w:szCs w:val="24"/>
        </w:rPr>
        <w:t>3.</w:t>
      </w:r>
      <w:r w:rsidR="00B900D3">
        <w:rPr>
          <w:rFonts w:ascii="Times New Roman" w:hAnsi="Times New Roman" w:cs="Times New Roman"/>
          <w:sz w:val="24"/>
          <w:szCs w:val="24"/>
        </w:rPr>
        <w:t xml:space="preserve"> godini </w:t>
      </w:r>
      <w:r w:rsidR="006D3C9E">
        <w:rPr>
          <w:rFonts w:ascii="Times New Roman" w:hAnsi="Times New Roman" w:cs="Times New Roman"/>
          <w:sz w:val="24"/>
          <w:szCs w:val="24"/>
        </w:rPr>
        <w:t>ostvareni su prihodi za navedenu nabavu, dok istih prihoda nije bilo u prethodnoj godini</w:t>
      </w:r>
      <w:r w:rsidR="00F72BA4" w:rsidRPr="00E87B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D90" w:rsidRDefault="00666D90" w:rsidP="00993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9F0" w:rsidRPr="00315A9C" w:rsidRDefault="006C29F0" w:rsidP="001803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03BF" w:rsidRPr="00315A9C" w:rsidRDefault="001803BF" w:rsidP="00180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A9C">
        <w:rPr>
          <w:rFonts w:ascii="Times New Roman" w:hAnsi="Times New Roman" w:cs="Times New Roman"/>
          <w:b/>
          <w:sz w:val="24"/>
          <w:szCs w:val="24"/>
        </w:rPr>
        <w:t xml:space="preserve">Bilješka </w:t>
      </w:r>
      <w:r w:rsidR="00B407AA">
        <w:rPr>
          <w:rFonts w:ascii="Times New Roman" w:hAnsi="Times New Roman" w:cs="Times New Roman"/>
          <w:b/>
          <w:sz w:val="24"/>
          <w:szCs w:val="24"/>
        </w:rPr>
        <w:t xml:space="preserve">broj </w:t>
      </w:r>
      <w:r w:rsidRPr="00315A9C">
        <w:rPr>
          <w:rFonts w:ascii="Times New Roman" w:hAnsi="Times New Roman" w:cs="Times New Roman"/>
          <w:b/>
          <w:sz w:val="24"/>
          <w:szCs w:val="24"/>
        </w:rPr>
        <w:t>2</w:t>
      </w:r>
    </w:p>
    <w:p w:rsidR="00B900D3" w:rsidRDefault="00744C0E" w:rsidP="00744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641">
        <w:rPr>
          <w:rFonts w:ascii="Times New Roman" w:hAnsi="Times New Roman" w:cs="Times New Roman"/>
          <w:sz w:val="24"/>
          <w:szCs w:val="24"/>
        </w:rPr>
        <w:t xml:space="preserve">U izvještajnom razdoblju ostvareni su ukupni rashodi i izdaci (šifra Y345) u iznosu od </w:t>
      </w:r>
    </w:p>
    <w:p w:rsidR="00744C0E" w:rsidRPr="00102641" w:rsidRDefault="006D3C9E" w:rsidP="00744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945.240,59 eura </w:t>
      </w:r>
      <w:r w:rsidR="00744C0E" w:rsidRPr="00102641">
        <w:rPr>
          <w:rFonts w:ascii="Times New Roman" w:hAnsi="Times New Roman" w:cs="Times New Roman"/>
          <w:sz w:val="24"/>
          <w:szCs w:val="24"/>
        </w:rPr>
        <w:t xml:space="preserve"> ili </w:t>
      </w:r>
      <w:r w:rsidR="00F1682C">
        <w:rPr>
          <w:rFonts w:ascii="Times New Roman" w:hAnsi="Times New Roman" w:cs="Times New Roman"/>
          <w:sz w:val="24"/>
          <w:szCs w:val="24"/>
        </w:rPr>
        <w:t>17,3</w:t>
      </w:r>
      <w:r w:rsidR="00744C0E" w:rsidRPr="00102641">
        <w:rPr>
          <w:rFonts w:ascii="Times New Roman" w:hAnsi="Times New Roman" w:cs="Times New Roman"/>
          <w:sz w:val="24"/>
          <w:szCs w:val="24"/>
        </w:rPr>
        <w:t xml:space="preserve"> % više u odnosu na ostvarenje </w:t>
      </w:r>
      <w:r w:rsidR="00744C0E" w:rsidRPr="00173C89">
        <w:rPr>
          <w:rFonts w:ascii="Times New Roman" w:hAnsi="Times New Roman" w:cs="Times New Roman"/>
          <w:sz w:val="24"/>
          <w:szCs w:val="24"/>
        </w:rPr>
        <w:t xml:space="preserve">siječanj – </w:t>
      </w:r>
      <w:r w:rsidR="00744C0E">
        <w:rPr>
          <w:rFonts w:ascii="Times New Roman" w:hAnsi="Times New Roman" w:cs="Times New Roman"/>
          <w:sz w:val="24"/>
          <w:szCs w:val="24"/>
        </w:rPr>
        <w:t>prosinac</w:t>
      </w:r>
      <w:r w:rsidR="00744C0E" w:rsidRPr="00173C89">
        <w:rPr>
          <w:rFonts w:ascii="Times New Roman" w:hAnsi="Times New Roman" w:cs="Times New Roman"/>
          <w:sz w:val="24"/>
          <w:szCs w:val="24"/>
        </w:rPr>
        <w:t xml:space="preserve"> u prethodnoj godini</w:t>
      </w:r>
      <w:r w:rsidR="00744C0E" w:rsidRPr="00102641">
        <w:rPr>
          <w:rFonts w:ascii="Times New Roman" w:hAnsi="Times New Roman" w:cs="Times New Roman"/>
          <w:sz w:val="24"/>
          <w:szCs w:val="24"/>
        </w:rPr>
        <w:t>.</w:t>
      </w:r>
    </w:p>
    <w:p w:rsidR="00744C0E" w:rsidRDefault="00744C0E" w:rsidP="00B90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999">
        <w:rPr>
          <w:rFonts w:ascii="Times New Roman" w:hAnsi="Times New Roman" w:cs="Times New Roman"/>
          <w:sz w:val="24"/>
          <w:szCs w:val="24"/>
        </w:rPr>
        <w:t>Najveća odstupan</w:t>
      </w:r>
      <w:r>
        <w:rPr>
          <w:rFonts w:ascii="Times New Roman" w:hAnsi="Times New Roman" w:cs="Times New Roman"/>
          <w:sz w:val="24"/>
          <w:szCs w:val="24"/>
        </w:rPr>
        <w:t>ja u odnosu na siječanj - prosinac</w:t>
      </w:r>
      <w:r w:rsidRPr="007E1999">
        <w:rPr>
          <w:rFonts w:ascii="Times New Roman" w:hAnsi="Times New Roman" w:cs="Times New Roman"/>
          <w:sz w:val="24"/>
          <w:szCs w:val="24"/>
        </w:rPr>
        <w:t xml:space="preserve"> prethodne godine odnose se na sljedeće rashode: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BEC" w:rsidRDefault="00373BEC" w:rsidP="00744C0E">
      <w:pPr>
        <w:pStyle w:val="Odlomakpopisa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</w:t>
      </w:r>
      <w:r w:rsidRPr="00EF42E0">
        <w:rPr>
          <w:rFonts w:ascii="Times New Roman" w:hAnsi="Times New Roman" w:cs="Times New Roman"/>
          <w:sz w:val="24"/>
          <w:szCs w:val="24"/>
        </w:rPr>
        <w:t xml:space="preserve"> 31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F42E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Ostali rashodi za zaposlene</w:t>
      </w:r>
      <w:r w:rsidRPr="00EF42E0">
        <w:rPr>
          <w:rFonts w:ascii="Times New Roman" w:hAnsi="Times New Roman" w:cs="Times New Roman"/>
          <w:sz w:val="24"/>
          <w:szCs w:val="24"/>
        </w:rPr>
        <w:t xml:space="preserve"> (indeks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1682C">
        <w:rPr>
          <w:rFonts w:ascii="Times New Roman" w:hAnsi="Times New Roman" w:cs="Times New Roman"/>
          <w:sz w:val="24"/>
          <w:szCs w:val="24"/>
        </w:rPr>
        <w:t>26,5</w:t>
      </w:r>
      <w:r w:rsidRPr="00EF42E0">
        <w:rPr>
          <w:rFonts w:ascii="Times New Roman" w:hAnsi="Times New Roman" w:cs="Times New Roman"/>
          <w:sz w:val="24"/>
          <w:szCs w:val="24"/>
        </w:rPr>
        <w:t xml:space="preserve">) – ostvareni su veći rashodi </w:t>
      </w:r>
      <w:r>
        <w:rPr>
          <w:rFonts w:ascii="Times New Roman" w:hAnsi="Times New Roman" w:cs="Times New Roman"/>
          <w:sz w:val="24"/>
          <w:szCs w:val="24"/>
        </w:rPr>
        <w:t xml:space="preserve">što je najvećim dijelom </w:t>
      </w:r>
      <w:r w:rsidRPr="00EF42E0">
        <w:rPr>
          <w:rFonts w:ascii="Times New Roman" w:hAnsi="Times New Roman" w:cs="Times New Roman"/>
          <w:sz w:val="24"/>
          <w:szCs w:val="24"/>
        </w:rPr>
        <w:t xml:space="preserve">rezultat povećanja </w:t>
      </w:r>
      <w:r>
        <w:rPr>
          <w:rFonts w:ascii="Times New Roman" w:hAnsi="Times New Roman" w:cs="Times New Roman"/>
          <w:sz w:val="24"/>
          <w:szCs w:val="24"/>
        </w:rPr>
        <w:t>iznosa božićnice i dara za djecu</w:t>
      </w:r>
      <w:r w:rsidR="00F1682C">
        <w:rPr>
          <w:rFonts w:ascii="Times New Roman" w:hAnsi="Times New Roman" w:cs="Times New Roman"/>
          <w:sz w:val="24"/>
          <w:szCs w:val="24"/>
        </w:rPr>
        <w:t>, regresa i ostalih materijalnih prava</w:t>
      </w:r>
    </w:p>
    <w:p w:rsidR="00336E86" w:rsidRDefault="00336E86" w:rsidP="00744C0E">
      <w:pPr>
        <w:pStyle w:val="Odlomakpopisa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šifra 3133 – Doprinosi za obvezno osiguranje u slučaju nezaposlenosti (indeks </w:t>
      </w:r>
      <w:r w:rsidR="00F1682C">
        <w:rPr>
          <w:rFonts w:ascii="Times New Roman" w:hAnsi="Times New Roman" w:cs="Times New Roman"/>
          <w:sz w:val="24"/>
          <w:szCs w:val="24"/>
        </w:rPr>
        <w:t>0,0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44C0E" w:rsidRPr="00ED4BAF" w:rsidRDefault="00F1682C" w:rsidP="00F1682C">
      <w:pPr>
        <w:pStyle w:val="Odlomakpopisa"/>
        <w:spacing w:after="0" w:line="240" w:lineRule="auto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2023. godini nije bilo isplata po sudskim presudama, za razliku od prethodne godine</w:t>
      </w:r>
    </w:p>
    <w:p w:rsidR="00744C0E" w:rsidRDefault="00D1498B" w:rsidP="005E1336">
      <w:pPr>
        <w:pStyle w:val="Odlomakpopisa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1682C">
        <w:rPr>
          <w:rFonts w:ascii="Times New Roman" w:hAnsi="Times New Roman" w:cs="Times New Roman"/>
          <w:sz w:val="24"/>
          <w:szCs w:val="24"/>
        </w:rPr>
        <w:t>šifra</w:t>
      </w:r>
      <w:r w:rsidR="00744C0E" w:rsidRPr="00F1682C">
        <w:rPr>
          <w:rFonts w:ascii="Times New Roman" w:hAnsi="Times New Roman" w:cs="Times New Roman"/>
          <w:sz w:val="24"/>
          <w:szCs w:val="24"/>
        </w:rPr>
        <w:t xml:space="preserve"> 3213 – Stručno usavršavanje zaposlenika (indeks </w:t>
      </w:r>
      <w:r w:rsidR="00F1682C" w:rsidRPr="00F1682C">
        <w:rPr>
          <w:rFonts w:ascii="Times New Roman" w:hAnsi="Times New Roman" w:cs="Times New Roman"/>
          <w:sz w:val="24"/>
          <w:szCs w:val="24"/>
        </w:rPr>
        <w:t>170,8</w:t>
      </w:r>
      <w:r w:rsidR="00744C0E" w:rsidRPr="00F1682C">
        <w:rPr>
          <w:rFonts w:ascii="Times New Roman" w:hAnsi="Times New Roman" w:cs="Times New Roman"/>
          <w:sz w:val="24"/>
          <w:szCs w:val="24"/>
        </w:rPr>
        <w:t xml:space="preserve">) - rashodi su </w:t>
      </w:r>
      <w:r w:rsidR="00F1682C" w:rsidRPr="00F1682C">
        <w:rPr>
          <w:rFonts w:ascii="Times New Roman" w:hAnsi="Times New Roman" w:cs="Times New Roman"/>
          <w:sz w:val="24"/>
          <w:szCs w:val="24"/>
        </w:rPr>
        <w:t>veći zbog većeg sudjelovanja zaposlenika na stručnim skupovima u odnosu na prethodnu godinu,</w:t>
      </w:r>
      <w:r w:rsidR="00F1682C">
        <w:rPr>
          <w:rFonts w:ascii="Times New Roman" w:hAnsi="Times New Roman" w:cs="Times New Roman"/>
          <w:sz w:val="24"/>
          <w:szCs w:val="24"/>
        </w:rPr>
        <w:t xml:space="preserve"> </w:t>
      </w:r>
      <w:r w:rsidR="00744C0E" w:rsidRPr="00F1682C">
        <w:rPr>
          <w:rFonts w:ascii="Times New Roman" w:hAnsi="Times New Roman" w:cs="Times New Roman"/>
          <w:sz w:val="24"/>
          <w:szCs w:val="24"/>
        </w:rPr>
        <w:t>sukladno stvarnim potrebama Škole i financijskom planu</w:t>
      </w:r>
    </w:p>
    <w:p w:rsidR="00EB4FA3" w:rsidRPr="00F1682C" w:rsidRDefault="00EB4FA3" w:rsidP="005E1336">
      <w:pPr>
        <w:pStyle w:val="Odlomakpopisa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3224 – Materijal i dijelovi za tekuće i investicijsko održavanje (indeks 127,3) – rashodi su veći sukladno stvarnim potrebama Škole i financijskom planu</w:t>
      </w:r>
    </w:p>
    <w:p w:rsidR="00744C0E" w:rsidRDefault="00D1498B" w:rsidP="00744C0E">
      <w:pPr>
        <w:pStyle w:val="Odlomakpopisa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</w:t>
      </w:r>
      <w:r w:rsidR="00744C0E" w:rsidRPr="00722B14">
        <w:rPr>
          <w:rFonts w:ascii="Times New Roman" w:hAnsi="Times New Roman" w:cs="Times New Roman"/>
          <w:sz w:val="24"/>
          <w:szCs w:val="24"/>
        </w:rPr>
        <w:t xml:space="preserve"> 3225 - Sitni inventar  (indeks </w:t>
      </w:r>
      <w:r w:rsidR="00F1682C">
        <w:rPr>
          <w:rFonts w:ascii="Times New Roman" w:hAnsi="Times New Roman" w:cs="Times New Roman"/>
          <w:sz w:val="24"/>
          <w:szCs w:val="24"/>
        </w:rPr>
        <w:t>114,3</w:t>
      </w:r>
      <w:r w:rsidR="00744C0E" w:rsidRPr="00722B14">
        <w:rPr>
          <w:rFonts w:ascii="Times New Roman" w:hAnsi="Times New Roman" w:cs="Times New Roman"/>
          <w:sz w:val="24"/>
          <w:szCs w:val="24"/>
        </w:rPr>
        <w:t xml:space="preserve">) – rashodi su </w:t>
      </w:r>
      <w:r w:rsidR="00F1682C">
        <w:rPr>
          <w:rFonts w:ascii="Times New Roman" w:hAnsi="Times New Roman" w:cs="Times New Roman"/>
          <w:sz w:val="24"/>
          <w:szCs w:val="24"/>
        </w:rPr>
        <w:t>veći</w:t>
      </w:r>
      <w:r w:rsidR="00744C0E" w:rsidRPr="00722B14">
        <w:rPr>
          <w:rFonts w:ascii="Times New Roman" w:hAnsi="Times New Roman" w:cs="Times New Roman"/>
          <w:sz w:val="24"/>
          <w:szCs w:val="24"/>
        </w:rPr>
        <w:t xml:space="preserve"> </w:t>
      </w:r>
      <w:r w:rsidR="00744C0E">
        <w:rPr>
          <w:rFonts w:ascii="Times New Roman" w:hAnsi="Times New Roman" w:cs="Times New Roman"/>
          <w:sz w:val="24"/>
          <w:szCs w:val="24"/>
        </w:rPr>
        <w:t xml:space="preserve">sukladno </w:t>
      </w:r>
      <w:r w:rsidR="00744C0E" w:rsidRPr="00722B14">
        <w:rPr>
          <w:rFonts w:ascii="Times New Roman" w:hAnsi="Times New Roman" w:cs="Times New Roman"/>
          <w:sz w:val="24"/>
          <w:szCs w:val="24"/>
        </w:rPr>
        <w:t xml:space="preserve">stvarnim potrebama </w:t>
      </w:r>
      <w:r w:rsidR="00744C0E">
        <w:rPr>
          <w:rFonts w:ascii="Times New Roman" w:hAnsi="Times New Roman" w:cs="Times New Roman"/>
          <w:sz w:val="24"/>
          <w:szCs w:val="24"/>
        </w:rPr>
        <w:t>Š</w:t>
      </w:r>
      <w:r w:rsidR="00744C0E" w:rsidRPr="00722B14">
        <w:rPr>
          <w:rFonts w:ascii="Times New Roman" w:hAnsi="Times New Roman" w:cs="Times New Roman"/>
          <w:sz w:val="24"/>
          <w:szCs w:val="24"/>
        </w:rPr>
        <w:t>kole</w:t>
      </w:r>
      <w:r w:rsidR="00744C0E">
        <w:rPr>
          <w:rFonts w:ascii="Times New Roman" w:hAnsi="Times New Roman" w:cs="Times New Roman"/>
          <w:sz w:val="24"/>
          <w:szCs w:val="24"/>
        </w:rPr>
        <w:t xml:space="preserve"> i financijskom planu</w:t>
      </w:r>
    </w:p>
    <w:p w:rsidR="00336E86" w:rsidRDefault="00336E86" w:rsidP="00C90543">
      <w:pPr>
        <w:pStyle w:val="Odlomakpopisa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36E86">
        <w:rPr>
          <w:rFonts w:ascii="Times New Roman" w:hAnsi="Times New Roman" w:cs="Times New Roman"/>
          <w:sz w:val="24"/>
          <w:szCs w:val="24"/>
        </w:rPr>
        <w:lastRenderedPageBreak/>
        <w:t xml:space="preserve">šifra 3227  - Službena, radna i zaštitna odjeća i obuća </w:t>
      </w:r>
      <w:r w:rsidR="00EB4FA3">
        <w:rPr>
          <w:rFonts w:ascii="Times New Roman" w:hAnsi="Times New Roman" w:cs="Times New Roman"/>
          <w:sz w:val="24"/>
          <w:szCs w:val="24"/>
        </w:rPr>
        <w:t xml:space="preserve"> Indeks 0,0) </w:t>
      </w:r>
      <w:r w:rsidRPr="00336E86">
        <w:rPr>
          <w:rFonts w:ascii="Times New Roman" w:hAnsi="Times New Roman" w:cs="Times New Roman"/>
          <w:sz w:val="24"/>
          <w:szCs w:val="24"/>
        </w:rPr>
        <w:t xml:space="preserve">– </w:t>
      </w:r>
      <w:r w:rsidR="00EB4FA3">
        <w:rPr>
          <w:rFonts w:ascii="Times New Roman" w:hAnsi="Times New Roman" w:cs="Times New Roman"/>
          <w:sz w:val="24"/>
          <w:szCs w:val="24"/>
        </w:rPr>
        <w:t xml:space="preserve">u 2023. godini realiziran je rashod, što nije bio slučaj u prethodnoj godini, </w:t>
      </w:r>
      <w:r w:rsidRPr="00336E86">
        <w:rPr>
          <w:rFonts w:ascii="Times New Roman" w:hAnsi="Times New Roman" w:cs="Times New Roman"/>
          <w:sz w:val="24"/>
          <w:szCs w:val="24"/>
        </w:rPr>
        <w:t xml:space="preserve"> sukladno stvarnim potrebama i financijskom planu Škole</w:t>
      </w:r>
    </w:p>
    <w:p w:rsidR="00F12C51" w:rsidRDefault="00F12C51" w:rsidP="00C90543">
      <w:pPr>
        <w:pStyle w:val="Odlomakpopisa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</w:t>
      </w:r>
      <w:r w:rsidR="00744C0E" w:rsidRPr="00336E86">
        <w:rPr>
          <w:rFonts w:ascii="Times New Roman" w:hAnsi="Times New Roman" w:cs="Times New Roman"/>
          <w:sz w:val="24"/>
          <w:szCs w:val="24"/>
        </w:rPr>
        <w:t xml:space="preserve"> 3231 - Usluge telefona, pošte i prijevoza (indeks </w:t>
      </w:r>
      <w:r w:rsidR="00EB4FA3">
        <w:rPr>
          <w:rFonts w:ascii="Times New Roman" w:hAnsi="Times New Roman" w:cs="Times New Roman"/>
          <w:sz w:val="24"/>
          <w:szCs w:val="24"/>
        </w:rPr>
        <w:t>106,1</w:t>
      </w:r>
      <w:r w:rsidR="00744C0E" w:rsidRPr="00336E86">
        <w:rPr>
          <w:rFonts w:ascii="Times New Roman" w:hAnsi="Times New Roman" w:cs="Times New Roman"/>
          <w:sz w:val="24"/>
          <w:szCs w:val="24"/>
        </w:rPr>
        <w:t xml:space="preserve">) – </w:t>
      </w:r>
      <w:r w:rsidR="000D2F6E" w:rsidRPr="00336E86">
        <w:rPr>
          <w:rFonts w:ascii="Times New Roman" w:hAnsi="Times New Roman" w:cs="Times New Roman"/>
          <w:sz w:val="24"/>
          <w:szCs w:val="24"/>
        </w:rPr>
        <w:t xml:space="preserve">ostvareni su </w:t>
      </w:r>
      <w:r w:rsidR="00EB4FA3">
        <w:rPr>
          <w:rFonts w:ascii="Times New Roman" w:hAnsi="Times New Roman" w:cs="Times New Roman"/>
          <w:sz w:val="24"/>
          <w:szCs w:val="24"/>
        </w:rPr>
        <w:t>veći</w:t>
      </w:r>
      <w:r w:rsidR="000D2F6E" w:rsidRPr="00336E86">
        <w:rPr>
          <w:rFonts w:ascii="Times New Roman" w:hAnsi="Times New Roman" w:cs="Times New Roman"/>
          <w:sz w:val="24"/>
          <w:szCs w:val="24"/>
        </w:rPr>
        <w:t xml:space="preserve"> </w:t>
      </w:r>
      <w:r w:rsidR="00744C0E" w:rsidRPr="00336E86">
        <w:rPr>
          <w:rFonts w:ascii="Times New Roman" w:hAnsi="Times New Roman" w:cs="Times New Roman"/>
          <w:sz w:val="24"/>
          <w:szCs w:val="24"/>
        </w:rPr>
        <w:t>rashodi</w:t>
      </w:r>
      <w:r w:rsidR="00EB4FA3">
        <w:rPr>
          <w:rFonts w:ascii="Times New Roman" w:hAnsi="Times New Roman" w:cs="Times New Roman"/>
          <w:sz w:val="24"/>
          <w:szCs w:val="24"/>
        </w:rPr>
        <w:t>,</w:t>
      </w:r>
      <w:r w:rsidR="00744C0E" w:rsidRPr="00336E86">
        <w:rPr>
          <w:rFonts w:ascii="Times New Roman" w:hAnsi="Times New Roman" w:cs="Times New Roman"/>
          <w:sz w:val="24"/>
          <w:szCs w:val="24"/>
        </w:rPr>
        <w:t xml:space="preserve"> </w:t>
      </w:r>
      <w:r w:rsidR="000D2F6E" w:rsidRPr="00336E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sukladno stvarnim potrebama i financijskom planu Škole</w:t>
      </w:r>
    </w:p>
    <w:p w:rsidR="00F04D3D" w:rsidRPr="00EB4FA3" w:rsidRDefault="00F12C51" w:rsidP="000B4F88">
      <w:pPr>
        <w:pStyle w:val="Odlomakpopisa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B4FA3">
        <w:rPr>
          <w:rFonts w:ascii="Times New Roman" w:hAnsi="Times New Roman" w:cs="Times New Roman"/>
          <w:sz w:val="24"/>
          <w:szCs w:val="24"/>
        </w:rPr>
        <w:t xml:space="preserve">šifra 3232 – Usluge tekućeg i investicijskog održavanja  (indeks </w:t>
      </w:r>
      <w:r w:rsidR="00EB4FA3" w:rsidRPr="00EB4FA3">
        <w:rPr>
          <w:rFonts w:ascii="Times New Roman" w:hAnsi="Times New Roman" w:cs="Times New Roman"/>
          <w:sz w:val="24"/>
          <w:szCs w:val="24"/>
        </w:rPr>
        <w:t>137,4</w:t>
      </w:r>
      <w:r w:rsidRPr="00EB4FA3">
        <w:rPr>
          <w:rFonts w:ascii="Times New Roman" w:hAnsi="Times New Roman" w:cs="Times New Roman"/>
          <w:sz w:val="24"/>
          <w:szCs w:val="24"/>
        </w:rPr>
        <w:t xml:space="preserve">) ostvareni veći rashodi sukladno stvarnim potrebama i financijskom planu škole, a temeljem prihoda od prodaje zemljišta u prenesenim iz prethodne godine </w:t>
      </w:r>
      <w:r w:rsidR="00F04D3D" w:rsidRPr="00EB4F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C0E" w:rsidRPr="00FB1837" w:rsidRDefault="00D1498B" w:rsidP="00744C0E">
      <w:pPr>
        <w:pStyle w:val="Odlomakpopisa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</w:t>
      </w:r>
      <w:r w:rsidR="00744C0E" w:rsidRPr="00FB1837">
        <w:rPr>
          <w:rFonts w:ascii="Times New Roman" w:hAnsi="Times New Roman" w:cs="Times New Roman"/>
          <w:sz w:val="24"/>
          <w:szCs w:val="24"/>
        </w:rPr>
        <w:t xml:space="preserve"> 3236 – Zdravstvene i veterinarske usluge </w:t>
      </w:r>
      <w:r w:rsidR="00F04D3D" w:rsidRPr="00F04D3D">
        <w:rPr>
          <w:rFonts w:ascii="Times New Roman" w:hAnsi="Times New Roman" w:cs="Times New Roman"/>
          <w:sz w:val="24"/>
          <w:szCs w:val="24"/>
        </w:rPr>
        <w:t xml:space="preserve">(indeks </w:t>
      </w:r>
      <w:r w:rsidR="00EB4FA3">
        <w:rPr>
          <w:rFonts w:ascii="Times New Roman" w:hAnsi="Times New Roman" w:cs="Times New Roman"/>
          <w:sz w:val="24"/>
          <w:szCs w:val="24"/>
        </w:rPr>
        <w:t>53,8</w:t>
      </w:r>
      <w:r w:rsidR="00F04D3D" w:rsidRPr="00F04D3D">
        <w:rPr>
          <w:rFonts w:ascii="Times New Roman" w:hAnsi="Times New Roman" w:cs="Times New Roman"/>
          <w:sz w:val="24"/>
          <w:szCs w:val="24"/>
        </w:rPr>
        <w:t xml:space="preserve">) </w:t>
      </w:r>
      <w:r w:rsidR="00744C0E" w:rsidRPr="00FB1837">
        <w:rPr>
          <w:rFonts w:ascii="Times New Roman" w:hAnsi="Times New Roman" w:cs="Times New Roman"/>
          <w:sz w:val="24"/>
          <w:szCs w:val="24"/>
        </w:rPr>
        <w:t xml:space="preserve">– </w:t>
      </w:r>
      <w:r w:rsidR="000D2F6E">
        <w:rPr>
          <w:rFonts w:ascii="Times New Roman" w:hAnsi="Times New Roman" w:cs="Times New Roman"/>
          <w:sz w:val="24"/>
          <w:szCs w:val="24"/>
        </w:rPr>
        <w:t xml:space="preserve">ostvareni su </w:t>
      </w:r>
      <w:r w:rsidR="00EB4FA3">
        <w:rPr>
          <w:rFonts w:ascii="Times New Roman" w:hAnsi="Times New Roman" w:cs="Times New Roman"/>
          <w:sz w:val="24"/>
          <w:szCs w:val="24"/>
        </w:rPr>
        <w:t>manji</w:t>
      </w:r>
      <w:r w:rsidR="00F04D3D">
        <w:rPr>
          <w:rFonts w:ascii="Times New Roman" w:hAnsi="Times New Roman" w:cs="Times New Roman"/>
          <w:sz w:val="24"/>
          <w:szCs w:val="24"/>
        </w:rPr>
        <w:t xml:space="preserve"> rashodi za sistematske preglede</w:t>
      </w:r>
      <w:r w:rsidR="00EB4FA3">
        <w:rPr>
          <w:rFonts w:ascii="Times New Roman" w:hAnsi="Times New Roman" w:cs="Times New Roman"/>
          <w:sz w:val="24"/>
          <w:szCs w:val="24"/>
        </w:rPr>
        <w:t>, sukladno dostatnim financijskim sredstvima i financijskom planu Škole</w:t>
      </w:r>
    </w:p>
    <w:p w:rsidR="00F12C51" w:rsidRDefault="00D1498B" w:rsidP="00744C0E">
      <w:pPr>
        <w:pStyle w:val="Odlomakpopisa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</w:t>
      </w:r>
      <w:r w:rsidR="00744C0E" w:rsidRPr="00FB1837">
        <w:rPr>
          <w:rFonts w:ascii="Times New Roman" w:hAnsi="Times New Roman" w:cs="Times New Roman"/>
          <w:sz w:val="24"/>
          <w:szCs w:val="24"/>
        </w:rPr>
        <w:t xml:space="preserve"> 3237 – Intelektualne i osobne usluge (indeks </w:t>
      </w:r>
      <w:r w:rsidR="00EB4FA3">
        <w:rPr>
          <w:rFonts w:ascii="Times New Roman" w:hAnsi="Times New Roman" w:cs="Times New Roman"/>
          <w:sz w:val="24"/>
          <w:szCs w:val="24"/>
        </w:rPr>
        <w:t>0,0</w:t>
      </w:r>
      <w:r w:rsidR="00744C0E" w:rsidRPr="00FB1837">
        <w:rPr>
          <w:rFonts w:ascii="Times New Roman" w:hAnsi="Times New Roman" w:cs="Times New Roman"/>
          <w:sz w:val="24"/>
          <w:szCs w:val="24"/>
        </w:rPr>
        <w:t xml:space="preserve">) – rashodi </w:t>
      </w:r>
      <w:r w:rsidR="00EB4FA3">
        <w:rPr>
          <w:rFonts w:ascii="Times New Roman" w:hAnsi="Times New Roman" w:cs="Times New Roman"/>
          <w:sz w:val="24"/>
          <w:szCs w:val="24"/>
        </w:rPr>
        <w:t>nisu realizirani u 2023. za razliku od prethodne godine</w:t>
      </w:r>
    </w:p>
    <w:p w:rsidR="00E8304D" w:rsidRDefault="00F12C51" w:rsidP="00744C0E">
      <w:pPr>
        <w:pStyle w:val="Odlomakpopisa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323</w:t>
      </w:r>
      <w:r w:rsidR="00EB4FA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B4FA3">
        <w:rPr>
          <w:rFonts w:ascii="Times New Roman" w:hAnsi="Times New Roman" w:cs="Times New Roman"/>
          <w:sz w:val="24"/>
          <w:szCs w:val="24"/>
        </w:rPr>
        <w:t>Računalne usluge</w:t>
      </w:r>
      <w:r>
        <w:rPr>
          <w:rFonts w:ascii="Times New Roman" w:hAnsi="Times New Roman" w:cs="Times New Roman"/>
          <w:sz w:val="24"/>
          <w:szCs w:val="24"/>
        </w:rPr>
        <w:t xml:space="preserve"> (indeks 1</w:t>
      </w:r>
      <w:r w:rsidR="00EB4FA3">
        <w:rPr>
          <w:rFonts w:ascii="Times New Roman" w:hAnsi="Times New Roman" w:cs="Times New Roman"/>
          <w:sz w:val="24"/>
          <w:szCs w:val="24"/>
        </w:rPr>
        <w:t>25,9</w:t>
      </w:r>
      <w:r>
        <w:rPr>
          <w:rFonts w:ascii="Times New Roman" w:hAnsi="Times New Roman" w:cs="Times New Roman"/>
          <w:sz w:val="24"/>
          <w:szCs w:val="24"/>
        </w:rPr>
        <w:t>)</w:t>
      </w:r>
      <w:r w:rsidR="00744C0E">
        <w:rPr>
          <w:rFonts w:ascii="Times New Roman" w:hAnsi="Times New Roman" w:cs="Times New Roman"/>
          <w:sz w:val="24"/>
          <w:szCs w:val="24"/>
        </w:rPr>
        <w:t xml:space="preserve"> </w:t>
      </w:r>
      <w:r w:rsidR="00A10293">
        <w:rPr>
          <w:rFonts w:ascii="Times New Roman" w:hAnsi="Times New Roman" w:cs="Times New Roman"/>
          <w:sz w:val="24"/>
          <w:szCs w:val="24"/>
        </w:rPr>
        <w:t>rashodi su veći zbog veće</w:t>
      </w:r>
      <w:r w:rsidR="00E8304D">
        <w:rPr>
          <w:rFonts w:ascii="Times New Roman" w:hAnsi="Times New Roman" w:cs="Times New Roman"/>
          <w:sz w:val="24"/>
          <w:szCs w:val="24"/>
        </w:rPr>
        <w:t xml:space="preserve"> cijene usluga u 2023. godini, sukladno stvarnim potrebama i financijskom planu Škole</w:t>
      </w:r>
    </w:p>
    <w:p w:rsidR="00E8304D" w:rsidRDefault="00E8304D" w:rsidP="00204AAF">
      <w:pPr>
        <w:pStyle w:val="Odlomakpopisa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80131">
        <w:rPr>
          <w:rFonts w:ascii="Times New Roman" w:hAnsi="Times New Roman" w:cs="Times New Roman"/>
          <w:sz w:val="24"/>
          <w:szCs w:val="24"/>
        </w:rPr>
        <w:t xml:space="preserve">šifra </w:t>
      </w:r>
      <w:r w:rsidR="00A10293" w:rsidRPr="00280131">
        <w:rPr>
          <w:rFonts w:ascii="Times New Roman" w:hAnsi="Times New Roman" w:cs="Times New Roman"/>
          <w:sz w:val="24"/>
          <w:szCs w:val="24"/>
        </w:rPr>
        <w:t xml:space="preserve"> 3239</w:t>
      </w:r>
      <w:r w:rsidRPr="00280131">
        <w:rPr>
          <w:rFonts w:ascii="Times New Roman" w:hAnsi="Times New Roman" w:cs="Times New Roman"/>
          <w:sz w:val="24"/>
          <w:szCs w:val="24"/>
        </w:rPr>
        <w:t xml:space="preserve"> – Ostale usluge (indeks 110,1)</w:t>
      </w:r>
      <w:r w:rsidR="000D06A4" w:rsidRPr="00280131">
        <w:rPr>
          <w:rFonts w:ascii="Times New Roman" w:hAnsi="Times New Roman" w:cs="Times New Roman"/>
          <w:sz w:val="24"/>
          <w:szCs w:val="24"/>
        </w:rPr>
        <w:t xml:space="preserve"> rashodi su veći zbog troškova smještaja i prijevoza učenika na natjecanje </w:t>
      </w:r>
      <w:proofErr w:type="spellStart"/>
      <w:r w:rsidR="000D06A4" w:rsidRPr="00280131">
        <w:rPr>
          <w:rFonts w:ascii="Times New Roman" w:hAnsi="Times New Roman" w:cs="Times New Roman"/>
          <w:sz w:val="24"/>
          <w:szCs w:val="24"/>
        </w:rPr>
        <w:t>Aeht</w:t>
      </w:r>
      <w:proofErr w:type="spellEnd"/>
      <w:r w:rsidR="000D06A4" w:rsidRPr="00280131">
        <w:rPr>
          <w:rFonts w:ascii="Times New Roman" w:hAnsi="Times New Roman" w:cs="Times New Roman"/>
          <w:sz w:val="24"/>
          <w:szCs w:val="24"/>
        </w:rPr>
        <w:t xml:space="preserve">-a u 2023. godini, sukladno stvarnim potrebama i financijskom planu </w:t>
      </w:r>
      <w:r w:rsidR="00280131" w:rsidRPr="00280131">
        <w:rPr>
          <w:rFonts w:ascii="Times New Roman" w:hAnsi="Times New Roman" w:cs="Times New Roman"/>
          <w:sz w:val="24"/>
          <w:szCs w:val="24"/>
        </w:rPr>
        <w:t>Š</w:t>
      </w:r>
      <w:r w:rsidR="000D06A4" w:rsidRPr="00280131">
        <w:rPr>
          <w:rFonts w:ascii="Times New Roman" w:hAnsi="Times New Roman" w:cs="Times New Roman"/>
          <w:sz w:val="24"/>
          <w:szCs w:val="24"/>
        </w:rPr>
        <w:t>kole</w:t>
      </w:r>
    </w:p>
    <w:p w:rsidR="00280131" w:rsidRPr="00280131" w:rsidRDefault="00280131" w:rsidP="00204AAF">
      <w:pPr>
        <w:pStyle w:val="Odlomakpopisa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šifra 3294 – Članarine i norme (indeks 120,4) rashodi su veći zbog veće cijene međunarodne članarine </w:t>
      </w:r>
      <w:proofErr w:type="spellStart"/>
      <w:r>
        <w:rPr>
          <w:rFonts w:ascii="Times New Roman" w:hAnsi="Times New Roman" w:cs="Times New Roman"/>
          <w:sz w:val="24"/>
          <w:szCs w:val="24"/>
        </w:rPr>
        <w:t>Aeht</w:t>
      </w:r>
      <w:proofErr w:type="spellEnd"/>
      <w:r>
        <w:rPr>
          <w:rFonts w:ascii="Times New Roman" w:hAnsi="Times New Roman" w:cs="Times New Roman"/>
          <w:sz w:val="24"/>
          <w:szCs w:val="24"/>
        </w:rPr>
        <w:t>-a za 2023. godinu, u odnosu na prethodnu godinu</w:t>
      </w:r>
    </w:p>
    <w:p w:rsidR="00744C0E" w:rsidRPr="00694A08" w:rsidRDefault="00D1498B" w:rsidP="00744C0E">
      <w:pPr>
        <w:pStyle w:val="Odlomakpopisa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</w:t>
      </w:r>
      <w:r w:rsidR="00744C0E" w:rsidRPr="00694A08">
        <w:rPr>
          <w:rFonts w:ascii="Times New Roman" w:hAnsi="Times New Roman" w:cs="Times New Roman"/>
          <w:sz w:val="24"/>
          <w:szCs w:val="24"/>
        </w:rPr>
        <w:t xml:space="preserve"> 3295 – Pristojbe i naknade (indeks </w:t>
      </w:r>
      <w:r w:rsidR="00A10293">
        <w:rPr>
          <w:rFonts w:ascii="Times New Roman" w:hAnsi="Times New Roman" w:cs="Times New Roman"/>
          <w:sz w:val="24"/>
          <w:szCs w:val="24"/>
        </w:rPr>
        <w:t>1</w:t>
      </w:r>
      <w:r w:rsidR="00280131">
        <w:rPr>
          <w:rFonts w:ascii="Times New Roman" w:hAnsi="Times New Roman" w:cs="Times New Roman"/>
          <w:sz w:val="24"/>
          <w:szCs w:val="24"/>
        </w:rPr>
        <w:t>12,3</w:t>
      </w:r>
      <w:r w:rsidR="00744C0E" w:rsidRPr="00132D71">
        <w:rPr>
          <w:rFonts w:ascii="Times New Roman" w:hAnsi="Times New Roman" w:cs="Times New Roman"/>
          <w:sz w:val="24"/>
          <w:szCs w:val="24"/>
        </w:rPr>
        <w:t xml:space="preserve">) – rashodi su veći u odnosu na prethodno razdoblje radi </w:t>
      </w:r>
      <w:r w:rsidR="00A10293">
        <w:rPr>
          <w:rFonts w:ascii="Times New Roman" w:hAnsi="Times New Roman" w:cs="Times New Roman"/>
          <w:sz w:val="24"/>
          <w:szCs w:val="24"/>
        </w:rPr>
        <w:t>povećanja iznosa naknade za nezapošljavanje invalida</w:t>
      </w:r>
      <w:r w:rsidR="00280131">
        <w:rPr>
          <w:rFonts w:ascii="Times New Roman" w:hAnsi="Times New Roman" w:cs="Times New Roman"/>
          <w:sz w:val="24"/>
          <w:szCs w:val="24"/>
        </w:rPr>
        <w:t>, sukladno stvarnim potrebama i financijskom planu Škole</w:t>
      </w:r>
      <w:r w:rsidR="00A102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C0E" w:rsidRDefault="00D1498B" w:rsidP="00744C0E">
      <w:pPr>
        <w:pStyle w:val="Odlomakpopisa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</w:t>
      </w:r>
      <w:r w:rsidR="00744C0E" w:rsidRPr="00132D71">
        <w:rPr>
          <w:rFonts w:ascii="Times New Roman" w:hAnsi="Times New Roman" w:cs="Times New Roman"/>
          <w:sz w:val="24"/>
          <w:szCs w:val="24"/>
        </w:rPr>
        <w:t xml:space="preserve"> 3296 – Troškovi sudskih postupaka (indeks </w:t>
      </w:r>
      <w:r w:rsidR="00280131">
        <w:rPr>
          <w:rFonts w:ascii="Times New Roman" w:hAnsi="Times New Roman" w:cs="Times New Roman"/>
          <w:sz w:val="24"/>
          <w:szCs w:val="24"/>
        </w:rPr>
        <w:t>0,0</w:t>
      </w:r>
      <w:r w:rsidR="00744C0E" w:rsidRPr="00132D71">
        <w:rPr>
          <w:rFonts w:ascii="Times New Roman" w:hAnsi="Times New Roman" w:cs="Times New Roman"/>
          <w:sz w:val="24"/>
          <w:szCs w:val="24"/>
        </w:rPr>
        <w:t xml:space="preserve">) – </w:t>
      </w:r>
      <w:r w:rsidR="00280131">
        <w:rPr>
          <w:rFonts w:ascii="Times New Roman" w:hAnsi="Times New Roman" w:cs="Times New Roman"/>
          <w:sz w:val="24"/>
          <w:szCs w:val="24"/>
        </w:rPr>
        <w:t xml:space="preserve">u 2023. godini nije bilo istih rashoda, jer ne postoje </w:t>
      </w:r>
      <w:proofErr w:type="spellStart"/>
      <w:r w:rsidR="00280131">
        <w:rPr>
          <w:rFonts w:ascii="Times New Roman" w:hAnsi="Times New Roman" w:cs="Times New Roman"/>
          <w:sz w:val="24"/>
          <w:szCs w:val="24"/>
        </w:rPr>
        <w:t>pravomoće</w:t>
      </w:r>
      <w:proofErr w:type="spellEnd"/>
      <w:r w:rsidR="00280131">
        <w:rPr>
          <w:rFonts w:ascii="Times New Roman" w:hAnsi="Times New Roman" w:cs="Times New Roman"/>
          <w:sz w:val="24"/>
          <w:szCs w:val="24"/>
        </w:rPr>
        <w:t xml:space="preserve"> presude</w:t>
      </w:r>
    </w:p>
    <w:p w:rsidR="00A10293" w:rsidRPr="00132D71" w:rsidRDefault="00A10293" w:rsidP="00744C0E">
      <w:pPr>
        <w:pStyle w:val="Odlomakpopisa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šifra 3299 – Ostali nespomenuti rashodi poslovanja (indeks </w:t>
      </w:r>
      <w:r w:rsidR="00280131">
        <w:rPr>
          <w:rFonts w:ascii="Times New Roman" w:hAnsi="Times New Roman" w:cs="Times New Roman"/>
          <w:sz w:val="24"/>
          <w:szCs w:val="24"/>
        </w:rPr>
        <w:t>335,1</w:t>
      </w:r>
      <w:r>
        <w:rPr>
          <w:rFonts w:ascii="Times New Roman" w:hAnsi="Times New Roman" w:cs="Times New Roman"/>
          <w:sz w:val="24"/>
          <w:szCs w:val="24"/>
        </w:rPr>
        <w:t xml:space="preserve">) rashodi su </w:t>
      </w:r>
      <w:r w:rsidR="00280131">
        <w:rPr>
          <w:rFonts w:ascii="Times New Roman" w:hAnsi="Times New Roman" w:cs="Times New Roman"/>
          <w:sz w:val="24"/>
          <w:szCs w:val="24"/>
        </w:rPr>
        <w:t>veći</w:t>
      </w:r>
      <w:r>
        <w:rPr>
          <w:rFonts w:ascii="Times New Roman" w:hAnsi="Times New Roman" w:cs="Times New Roman"/>
          <w:sz w:val="24"/>
          <w:szCs w:val="24"/>
        </w:rPr>
        <w:t xml:space="preserve"> sukladno stvarnim potrebama i financijskom planu Škole</w:t>
      </w:r>
      <w:r w:rsidR="00961D19">
        <w:rPr>
          <w:rFonts w:ascii="Times New Roman" w:hAnsi="Times New Roman" w:cs="Times New Roman"/>
          <w:sz w:val="24"/>
          <w:szCs w:val="24"/>
        </w:rPr>
        <w:t xml:space="preserve"> (materijal za natjecanja učenika kojih je bilo znatno više nego u prethodnoj godini, te rasta cijena)</w:t>
      </w:r>
    </w:p>
    <w:p w:rsidR="00744C0E" w:rsidRPr="000805BB" w:rsidRDefault="00D1498B" w:rsidP="00744C0E">
      <w:pPr>
        <w:pStyle w:val="Odlomakpopisa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</w:t>
      </w:r>
      <w:r w:rsidR="00744C0E" w:rsidRPr="000805BB">
        <w:rPr>
          <w:rFonts w:ascii="Times New Roman" w:hAnsi="Times New Roman" w:cs="Times New Roman"/>
          <w:sz w:val="24"/>
          <w:szCs w:val="24"/>
        </w:rPr>
        <w:t xml:space="preserve"> 3431– Bankarske usluge i usluge platnog prometa (indeks </w:t>
      </w:r>
      <w:r w:rsidR="00961D19">
        <w:rPr>
          <w:rFonts w:ascii="Times New Roman" w:hAnsi="Times New Roman" w:cs="Times New Roman"/>
          <w:sz w:val="24"/>
          <w:szCs w:val="24"/>
        </w:rPr>
        <w:t>110,4</w:t>
      </w:r>
      <w:r w:rsidR="00744C0E" w:rsidRPr="000805BB">
        <w:rPr>
          <w:rFonts w:ascii="Times New Roman" w:hAnsi="Times New Roman" w:cs="Times New Roman"/>
          <w:sz w:val="24"/>
          <w:szCs w:val="24"/>
        </w:rPr>
        <w:t xml:space="preserve">) – rashodi su veći </w:t>
      </w:r>
      <w:r w:rsidR="00744C0E">
        <w:rPr>
          <w:rFonts w:ascii="Times New Roman" w:hAnsi="Times New Roman" w:cs="Times New Roman"/>
          <w:sz w:val="24"/>
          <w:szCs w:val="24"/>
        </w:rPr>
        <w:t>kao</w:t>
      </w:r>
      <w:r w:rsidR="00744C0E" w:rsidRPr="000805BB">
        <w:rPr>
          <w:rFonts w:ascii="Times New Roman" w:hAnsi="Times New Roman" w:cs="Times New Roman"/>
          <w:sz w:val="24"/>
          <w:szCs w:val="24"/>
        </w:rPr>
        <w:t xml:space="preserve"> </w:t>
      </w:r>
      <w:r w:rsidR="00744C0E">
        <w:rPr>
          <w:rFonts w:ascii="Times New Roman" w:hAnsi="Times New Roman" w:cs="Times New Roman"/>
          <w:sz w:val="24"/>
          <w:szCs w:val="24"/>
        </w:rPr>
        <w:t xml:space="preserve">rezultat </w:t>
      </w:r>
      <w:r w:rsidR="00961D19">
        <w:rPr>
          <w:rFonts w:ascii="Times New Roman" w:hAnsi="Times New Roman" w:cs="Times New Roman"/>
          <w:sz w:val="24"/>
          <w:szCs w:val="24"/>
        </w:rPr>
        <w:t>rasta cijene bankarskih usluga u 2023. godini</w:t>
      </w:r>
    </w:p>
    <w:p w:rsidR="00961D19" w:rsidRDefault="00D1498B" w:rsidP="008619CD">
      <w:pPr>
        <w:pStyle w:val="Odlomakpopisa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61D19">
        <w:rPr>
          <w:rFonts w:ascii="Times New Roman" w:hAnsi="Times New Roman" w:cs="Times New Roman"/>
          <w:sz w:val="24"/>
          <w:szCs w:val="24"/>
        </w:rPr>
        <w:t>šifra</w:t>
      </w:r>
      <w:r w:rsidR="00744C0E" w:rsidRPr="00961D19">
        <w:rPr>
          <w:rFonts w:ascii="Times New Roman" w:hAnsi="Times New Roman" w:cs="Times New Roman"/>
          <w:sz w:val="24"/>
          <w:szCs w:val="24"/>
        </w:rPr>
        <w:t xml:space="preserve"> 3433 – Zatezne kamate (indeks </w:t>
      </w:r>
      <w:r w:rsidR="00961D19" w:rsidRPr="00961D19">
        <w:rPr>
          <w:rFonts w:ascii="Times New Roman" w:hAnsi="Times New Roman" w:cs="Times New Roman"/>
          <w:sz w:val="24"/>
          <w:szCs w:val="24"/>
        </w:rPr>
        <w:t>0,0</w:t>
      </w:r>
      <w:r w:rsidR="00744C0E" w:rsidRPr="00961D19">
        <w:rPr>
          <w:rFonts w:ascii="Times New Roman" w:hAnsi="Times New Roman" w:cs="Times New Roman"/>
          <w:sz w:val="24"/>
          <w:szCs w:val="24"/>
        </w:rPr>
        <w:t xml:space="preserve">) – </w:t>
      </w:r>
      <w:r w:rsidR="00961D19" w:rsidRPr="00961D19">
        <w:rPr>
          <w:rFonts w:ascii="Times New Roman" w:hAnsi="Times New Roman" w:cs="Times New Roman"/>
          <w:sz w:val="24"/>
          <w:szCs w:val="24"/>
        </w:rPr>
        <w:t>u 2023. godini nije bilo</w:t>
      </w:r>
      <w:r w:rsidR="00744C0E" w:rsidRPr="00961D19">
        <w:rPr>
          <w:rFonts w:ascii="Times New Roman" w:hAnsi="Times New Roman" w:cs="Times New Roman"/>
          <w:sz w:val="24"/>
          <w:szCs w:val="24"/>
        </w:rPr>
        <w:t xml:space="preserve"> </w:t>
      </w:r>
      <w:r w:rsidR="00A10293" w:rsidRPr="00961D19">
        <w:rPr>
          <w:rFonts w:ascii="Times New Roman" w:hAnsi="Times New Roman" w:cs="Times New Roman"/>
          <w:sz w:val="24"/>
          <w:szCs w:val="24"/>
        </w:rPr>
        <w:t xml:space="preserve">obračuna i isplate </w:t>
      </w:r>
      <w:r w:rsidR="00744C0E" w:rsidRPr="00961D19">
        <w:rPr>
          <w:rFonts w:ascii="Times New Roman" w:hAnsi="Times New Roman" w:cs="Times New Roman"/>
          <w:sz w:val="24"/>
          <w:szCs w:val="24"/>
        </w:rPr>
        <w:t>zateznih kamata temeljem pravomoćnih sudskih presuda</w:t>
      </w:r>
      <w:r w:rsidR="00961D19" w:rsidRPr="00961D19">
        <w:rPr>
          <w:rFonts w:ascii="Times New Roman" w:hAnsi="Times New Roman" w:cs="Times New Roman"/>
          <w:sz w:val="24"/>
          <w:szCs w:val="24"/>
        </w:rPr>
        <w:t>, u odnosu na prethodnu godinu</w:t>
      </w:r>
    </w:p>
    <w:p w:rsidR="00961D19" w:rsidRDefault="00961D19" w:rsidP="008619CD">
      <w:pPr>
        <w:pStyle w:val="Odlomakpopisa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3722 – Naknade građanima i kućanstvima u naravi (18,8) izvršeni rashodi su znatno manji,</w:t>
      </w:r>
    </w:p>
    <w:p w:rsidR="00961D19" w:rsidRDefault="00961D19" w:rsidP="00961D19">
      <w:pPr>
        <w:pStyle w:val="Odlomakpopis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odnose se na nabavu higijenskih potrepština za djevojke, a </w:t>
      </w:r>
      <w:r w:rsidR="00BB07AD">
        <w:rPr>
          <w:rFonts w:ascii="Times New Roman" w:hAnsi="Times New Roman" w:cs="Times New Roman"/>
          <w:sz w:val="24"/>
          <w:szCs w:val="24"/>
        </w:rPr>
        <w:t>prikazani su na šifri 3812 – Ministarstvo rada, mirovinskog sustava, obitelji i socijalne politike</w:t>
      </w:r>
    </w:p>
    <w:p w:rsidR="00BB07AD" w:rsidRDefault="00BB07AD" w:rsidP="00961D19">
      <w:pPr>
        <w:pStyle w:val="Odlomakpopis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3812 – Tekuće donacije u naravi (indeks -) tijekom 2023. godine izvršeni su rashodi za opskrbu zalihama menstrualnih higijenskih potrepština od Ministarstva rada, mirovinskog sustava, obitelji i socijalne politike, dok u prethodnoj godini nije bilo istog rashoda</w:t>
      </w:r>
    </w:p>
    <w:p w:rsidR="00744C0E" w:rsidRPr="00961D19" w:rsidRDefault="00D1498B" w:rsidP="008619CD">
      <w:pPr>
        <w:pStyle w:val="Odlomakpopisa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61D19">
        <w:rPr>
          <w:rFonts w:ascii="Times New Roman" w:hAnsi="Times New Roman" w:cs="Times New Roman"/>
          <w:sz w:val="24"/>
          <w:szCs w:val="24"/>
        </w:rPr>
        <w:t>šifra</w:t>
      </w:r>
      <w:r w:rsidR="00744C0E" w:rsidRPr="00961D19">
        <w:rPr>
          <w:rFonts w:ascii="Times New Roman" w:hAnsi="Times New Roman" w:cs="Times New Roman"/>
          <w:sz w:val="24"/>
          <w:szCs w:val="24"/>
        </w:rPr>
        <w:t xml:space="preserve"> 42</w:t>
      </w:r>
      <w:r w:rsidR="003C0F46" w:rsidRPr="00961D19">
        <w:rPr>
          <w:rFonts w:ascii="Times New Roman" w:hAnsi="Times New Roman" w:cs="Times New Roman"/>
          <w:sz w:val="24"/>
          <w:szCs w:val="24"/>
        </w:rPr>
        <w:t>2</w:t>
      </w:r>
      <w:r w:rsidR="00744C0E" w:rsidRPr="00961D19">
        <w:rPr>
          <w:rFonts w:ascii="Times New Roman" w:hAnsi="Times New Roman" w:cs="Times New Roman"/>
          <w:sz w:val="24"/>
          <w:szCs w:val="24"/>
        </w:rPr>
        <w:t xml:space="preserve"> – </w:t>
      </w:r>
      <w:r w:rsidR="003C0F46" w:rsidRPr="00961D19">
        <w:rPr>
          <w:rFonts w:ascii="Times New Roman" w:hAnsi="Times New Roman" w:cs="Times New Roman"/>
          <w:sz w:val="24"/>
          <w:szCs w:val="24"/>
        </w:rPr>
        <w:t>Postrojenja i oprema</w:t>
      </w:r>
      <w:r w:rsidR="00744C0E" w:rsidRPr="00961D19">
        <w:rPr>
          <w:rFonts w:ascii="Times New Roman" w:hAnsi="Times New Roman" w:cs="Times New Roman"/>
          <w:sz w:val="24"/>
          <w:szCs w:val="24"/>
        </w:rPr>
        <w:t xml:space="preserve"> (indeks </w:t>
      </w:r>
      <w:r w:rsidR="00BB07AD">
        <w:rPr>
          <w:rFonts w:ascii="Times New Roman" w:hAnsi="Times New Roman" w:cs="Times New Roman"/>
          <w:sz w:val="24"/>
          <w:szCs w:val="24"/>
        </w:rPr>
        <w:t>536,2</w:t>
      </w:r>
      <w:r w:rsidR="00744C0E" w:rsidRPr="00961D19">
        <w:rPr>
          <w:rFonts w:ascii="Times New Roman" w:hAnsi="Times New Roman" w:cs="Times New Roman"/>
          <w:sz w:val="24"/>
          <w:szCs w:val="24"/>
        </w:rPr>
        <w:t xml:space="preserve">) – izvršeni </w:t>
      </w:r>
      <w:r w:rsidR="003C0F46" w:rsidRPr="00961D19">
        <w:rPr>
          <w:rFonts w:ascii="Times New Roman" w:hAnsi="Times New Roman" w:cs="Times New Roman"/>
          <w:sz w:val="24"/>
          <w:szCs w:val="24"/>
        </w:rPr>
        <w:t>rashodi</w:t>
      </w:r>
      <w:r w:rsidR="00744C0E" w:rsidRPr="00961D19">
        <w:rPr>
          <w:rFonts w:ascii="Times New Roman" w:hAnsi="Times New Roman" w:cs="Times New Roman"/>
          <w:sz w:val="24"/>
          <w:szCs w:val="24"/>
        </w:rPr>
        <w:t xml:space="preserve"> su </w:t>
      </w:r>
      <w:r w:rsidR="00BB07AD">
        <w:rPr>
          <w:rFonts w:ascii="Times New Roman" w:hAnsi="Times New Roman" w:cs="Times New Roman"/>
          <w:sz w:val="24"/>
          <w:szCs w:val="24"/>
        </w:rPr>
        <w:t>znatno veći,</w:t>
      </w:r>
      <w:r w:rsidR="00744C0E" w:rsidRPr="00961D19">
        <w:rPr>
          <w:rFonts w:ascii="Times New Roman" w:hAnsi="Times New Roman" w:cs="Times New Roman"/>
          <w:sz w:val="24"/>
          <w:szCs w:val="24"/>
        </w:rPr>
        <w:t xml:space="preserve"> jer je u </w:t>
      </w:r>
      <w:r w:rsidR="00BB07AD">
        <w:rPr>
          <w:rFonts w:ascii="Times New Roman" w:hAnsi="Times New Roman" w:cs="Times New Roman"/>
          <w:sz w:val="24"/>
          <w:szCs w:val="24"/>
        </w:rPr>
        <w:t xml:space="preserve">2023. godini od prenesenih prihoda od prodaje zemljišta nabavljena oprema sukladno financijskom planu i planu nabave Škole </w:t>
      </w:r>
    </w:p>
    <w:p w:rsidR="003C0F46" w:rsidRPr="00452B8B" w:rsidRDefault="003C0F46" w:rsidP="007E68CE">
      <w:pPr>
        <w:pStyle w:val="Odlomakpopisa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52B8B">
        <w:rPr>
          <w:rFonts w:ascii="Times New Roman" w:hAnsi="Times New Roman" w:cs="Times New Roman"/>
          <w:sz w:val="24"/>
          <w:szCs w:val="24"/>
        </w:rPr>
        <w:t xml:space="preserve">šifra 4227 – Uređaji, strojevi i oprema za ostale namjene (indeks </w:t>
      </w:r>
      <w:r w:rsidR="00BB07AD" w:rsidRPr="00452B8B">
        <w:rPr>
          <w:rFonts w:ascii="Times New Roman" w:hAnsi="Times New Roman" w:cs="Times New Roman"/>
          <w:sz w:val="24"/>
          <w:szCs w:val="24"/>
        </w:rPr>
        <w:t>495,0</w:t>
      </w:r>
      <w:r w:rsidRPr="00452B8B">
        <w:rPr>
          <w:rFonts w:ascii="Times New Roman" w:hAnsi="Times New Roman" w:cs="Times New Roman"/>
          <w:sz w:val="24"/>
          <w:szCs w:val="24"/>
        </w:rPr>
        <w:t xml:space="preserve">) – </w:t>
      </w:r>
      <w:r w:rsidR="00452B8B" w:rsidRPr="00452B8B">
        <w:rPr>
          <w:rFonts w:ascii="Times New Roman" w:hAnsi="Times New Roman" w:cs="Times New Roman"/>
          <w:sz w:val="24"/>
          <w:szCs w:val="24"/>
        </w:rPr>
        <w:t>rashodi su znatno veći jer je u 2023. godini od prenesenih prihoda od prodaje zemljišta nabavljeno 10 novih klima uređaja i oprema za učionicu računalstva, prema financijskom planu i planu nabave Škole</w:t>
      </w:r>
    </w:p>
    <w:p w:rsidR="00322DCE" w:rsidRDefault="00322DCE" w:rsidP="009D74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1E5C" w:rsidRDefault="00261E5C" w:rsidP="00E84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465" w:rsidRPr="002B5148" w:rsidRDefault="00135465" w:rsidP="001354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148">
        <w:rPr>
          <w:rFonts w:ascii="Times New Roman" w:hAnsi="Times New Roman" w:cs="Times New Roman"/>
          <w:b/>
          <w:sz w:val="24"/>
          <w:szCs w:val="24"/>
        </w:rPr>
        <w:t xml:space="preserve">Bilješka broj </w:t>
      </w:r>
      <w:r w:rsidR="00322DCE">
        <w:rPr>
          <w:rFonts w:ascii="Times New Roman" w:hAnsi="Times New Roman" w:cs="Times New Roman"/>
          <w:b/>
          <w:sz w:val="24"/>
          <w:szCs w:val="24"/>
        </w:rPr>
        <w:t>3</w:t>
      </w:r>
    </w:p>
    <w:p w:rsidR="00322DCE" w:rsidRDefault="00322DCE" w:rsidP="00322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DCE">
        <w:rPr>
          <w:rFonts w:ascii="Times New Roman" w:hAnsi="Times New Roman" w:cs="Times New Roman"/>
          <w:sz w:val="24"/>
          <w:szCs w:val="24"/>
        </w:rPr>
        <w:t xml:space="preserve">U izvještajnom razdoblju ostvaren je višak prihoda raspoloživ u sljedećem razdoblju (šifra X006) u iznosu od </w:t>
      </w:r>
      <w:r w:rsidR="00452B8B">
        <w:rPr>
          <w:rFonts w:ascii="Times New Roman" w:hAnsi="Times New Roman" w:cs="Times New Roman"/>
          <w:sz w:val="24"/>
          <w:szCs w:val="24"/>
        </w:rPr>
        <w:t>37.260,2</w:t>
      </w:r>
      <w:r w:rsidR="0001244E">
        <w:rPr>
          <w:rFonts w:ascii="Times New Roman" w:hAnsi="Times New Roman" w:cs="Times New Roman"/>
          <w:sz w:val="24"/>
          <w:szCs w:val="24"/>
        </w:rPr>
        <w:t>6</w:t>
      </w:r>
      <w:r w:rsidR="00452B8B">
        <w:rPr>
          <w:rFonts w:ascii="Times New Roman" w:hAnsi="Times New Roman" w:cs="Times New Roman"/>
          <w:sz w:val="24"/>
          <w:szCs w:val="24"/>
        </w:rPr>
        <w:t xml:space="preserve"> eura</w:t>
      </w:r>
      <w:r w:rsidRPr="00322DCE">
        <w:rPr>
          <w:rFonts w:ascii="Times New Roman" w:hAnsi="Times New Roman" w:cs="Times New Roman"/>
          <w:sz w:val="24"/>
          <w:szCs w:val="24"/>
        </w:rPr>
        <w:t xml:space="preserve"> (indeks </w:t>
      </w:r>
      <w:r w:rsidR="00452B8B">
        <w:rPr>
          <w:rFonts w:ascii="Times New Roman" w:hAnsi="Times New Roman" w:cs="Times New Roman"/>
          <w:sz w:val="24"/>
          <w:szCs w:val="24"/>
        </w:rPr>
        <w:t>45,1</w:t>
      </w:r>
      <w:r w:rsidRPr="00322DCE">
        <w:rPr>
          <w:rFonts w:ascii="Times New Roman" w:hAnsi="Times New Roman" w:cs="Times New Roman"/>
          <w:sz w:val="24"/>
          <w:szCs w:val="24"/>
        </w:rPr>
        <w:t>) koji se sastoji od sljedećih izvora financiranja:</w:t>
      </w:r>
    </w:p>
    <w:p w:rsidR="00153B1F" w:rsidRDefault="00153B1F" w:rsidP="00153B1F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35465" w:rsidRPr="007E5515">
        <w:rPr>
          <w:rFonts w:ascii="Times New Roman" w:hAnsi="Times New Roman" w:cs="Times New Roman"/>
          <w:sz w:val="24"/>
          <w:szCs w:val="24"/>
        </w:rPr>
        <w:t xml:space="preserve">zvor financiranja </w:t>
      </w:r>
      <w:r w:rsidR="00603034">
        <w:rPr>
          <w:rFonts w:ascii="Times New Roman" w:hAnsi="Times New Roman" w:cs="Times New Roman"/>
          <w:sz w:val="24"/>
          <w:szCs w:val="24"/>
        </w:rPr>
        <w:t>Pomoći – prihodi poslovanja ostvaren</w:t>
      </w:r>
      <w:r w:rsidR="00135465" w:rsidRPr="007E5515">
        <w:rPr>
          <w:rFonts w:ascii="Times New Roman" w:hAnsi="Times New Roman" w:cs="Times New Roman"/>
          <w:sz w:val="24"/>
          <w:szCs w:val="24"/>
        </w:rPr>
        <w:t xml:space="preserve"> je višak prihoda raspoloživ u sljedećem </w:t>
      </w:r>
      <w:r w:rsidR="00135465" w:rsidRPr="008157AB">
        <w:rPr>
          <w:rFonts w:ascii="Times New Roman" w:hAnsi="Times New Roman" w:cs="Times New Roman"/>
          <w:sz w:val="24"/>
          <w:szCs w:val="24"/>
        </w:rPr>
        <w:t xml:space="preserve">razdoblju </w:t>
      </w:r>
      <w:r w:rsidR="001A2E5E" w:rsidRPr="008157AB">
        <w:rPr>
          <w:rFonts w:ascii="Times New Roman" w:hAnsi="Times New Roman" w:cs="Times New Roman"/>
          <w:sz w:val="24"/>
          <w:szCs w:val="24"/>
        </w:rPr>
        <w:t xml:space="preserve">u iznosu </w:t>
      </w:r>
      <w:r w:rsidR="00135465" w:rsidRPr="008157AB">
        <w:rPr>
          <w:rFonts w:ascii="Times New Roman" w:hAnsi="Times New Roman" w:cs="Times New Roman"/>
          <w:sz w:val="24"/>
          <w:szCs w:val="24"/>
        </w:rPr>
        <w:t xml:space="preserve">od </w:t>
      </w:r>
      <w:r w:rsidR="00452B8B">
        <w:rPr>
          <w:rFonts w:ascii="Times New Roman" w:hAnsi="Times New Roman" w:cs="Times New Roman"/>
          <w:sz w:val="24"/>
          <w:szCs w:val="24"/>
        </w:rPr>
        <w:t>663,6</w:t>
      </w:r>
      <w:r w:rsidR="0001244E">
        <w:rPr>
          <w:rFonts w:ascii="Times New Roman" w:hAnsi="Times New Roman" w:cs="Times New Roman"/>
          <w:sz w:val="24"/>
          <w:szCs w:val="24"/>
        </w:rPr>
        <w:t>2</w:t>
      </w:r>
      <w:r w:rsidR="00452B8B">
        <w:rPr>
          <w:rFonts w:ascii="Times New Roman" w:hAnsi="Times New Roman" w:cs="Times New Roman"/>
          <w:sz w:val="24"/>
          <w:szCs w:val="24"/>
        </w:rPr>
        <w:t xml:space="preserve"> eura</w:t>
      </w:r>
      <w:r w:rsidR="001A2E5E" w:rsidRPr="008157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koji je rezultat</w:t>
      </w:r>
      <w:r w:rsidR="004276CD" w:rsidRPr="008157AB">
        <w:rPr>
          <w:rFonts w:ascii="Times New Roman" w:hAnsi="Times New Roman" w:cs="Times New Roman"/>
          <w:sz w:val="24"/>
          <w:szCs w:val="24"/>
        </w:rPr>
        <w:t xml:space="preserve"> neutrošenih </w:t>
      </w:r>
      <w:r w:rsidR="001065B8" w:rsidRPr="008157AB">
        <w:rPr>
          <w:rFonts w:ascii="Times New Roman" w:hAnsi="Times New Roman" w:cs="Times New Roman"/>
          <w:sz w:val="24"/>
          <w:szCs w:val="24"/>
        </w:rPr>
        <w:t>prenesenih sredstava</w:t>
      </w:r>
      <w:r>
        <w:rPr>
          <w:rFonts w:ascii="Times New Roman" w:hAnsi="Times New Roman" w:cs="Times New Roman"/>
          <w:sz w:val="24"/>
          <w:szCs w:val="24"/>
        </w:rPr>
        <w:t>.</w:t>
      </w:r>
      <w:r w:rsidR="001065B8" w:rsidRPr="008157AB">
        <w:rPr>
          <w:rFonts w:ascii="Times New Roman" w:hAnsi="Times New Roman" w:cs="Times New Roman"/>
          <w:sz w:val="24"/>
          <w:szCs w:val="24"/>
        </w:rPr>
        <w:t xml:space="preserve"> </w:t>
      </w:r>
      <w:r w:rsidR="00135465" w:rsidRPr="007E5515">
        <w:rPr>
          <w:rFonts w:ascii="Times New Roman" w:hAnsi="Times New Roman" w:cs="Times New Roman"/>
          <w:sz w:val="24"/>
          <w:szCs w:val="24"/>
        </w:rPr>
        <w:t xml:space="preserve"> Ostvareni </w:t>
      </w:r>
      <w:r w:rsidR="00135465" w:rsidRPr="007E5515">
        <w:rPr>
          <w:rFonts w:ascii="Times New Roman" w:hAnsi="Times New Roman" w:cs="Times New Roman"/>
          <w:sz w:val="24"/>
          <w:szCs w:val="24"/>
        </w:rPr>
        <w:lastRenderedPageBreak/>
        <w:t>višak će se utrošiti u idućim obračunskim razdob</w:t>
      </w:r>
      <w:r w:rsidR="001065B8">
        <w:rPr>
          <w:rFonts w:ascii="Times New Roman" w:hAnsi="Times New Roman" w:cs="Times New Roman"/>
          <w:sz w:val="24"/>
          <w:szCs w:val="24"/>
        </w:rPr>
        <w:t xml:space="preserve">ljima prema Financijskom planu </w:t>
      </w:r>
      <w:r w:rsidR="00DD4C66">
        <w:rPr>
          <w:rFonts w:ascii="Times New Roman" w:hAnsi="Times New Roman" w:cs="Times New Roman"/>
          <w:sz w:val="24"/>
          <w:szCs w:val="24"/>
        </w:rPr>
        <w:t>i Odluci o raspodjeli rezultata</w:t>
      </w:r>
      <w:r w:rsidR="00135465" w:rsidRPr="007E5515">
        <w:rPr>
          <w:rFonts w:ascii="Times New Roman" w:hAnsi="Times New Roman" w:cs="Times New Roman"/>
          <w:sz w:val="24"/>
          <w:szCs w:val="24"/>
        </w:rPr>
        <w:t>.</w:t>
      </w:r>
    </w:p>
    <w:p w:rsidR="00FC6F6C" w:rsidRDefault="00153B1F" w:rsidP="00153B1F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Izvor financiranja </w:t>
      </w:r>
      <w:r w:rsidR="00452B8B">
        <w:rPr>
          <w:rFonts w:ascii="Times New Roman" w:hAnsi="Times New Roman" w:cs="Times New Roman"/>
          <w:sz w:val="24"/>
          <w:szCs w:val="24"/>
        </w:rPr>
        <w:t>Vlastiti prihodi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52B8B">
        <w:rPr>
          <w:rFonts w:ascii="Times New Roman" w:hAnsi="Times New Roman" w:cs="Times New Roman"/>
          <w:sz w:val="24"/>
          <w:szCs w:val="24"/>
        </w:rPr>
        <w:t>prihodi poslovanja</w:t>
      </w:r>
      <w:r>
        <w:rPr>
          <w:rFonts w:ascii="Times New Roman" w:hAnsi="Times New Roman" w:cs="Times New Roman"/>
          <w:sz w:val="24"/>
          <w:szCs w:val="24"/>
        </w:rPr>
        <w:t xml:space="preserve"> ostvaren je višak prihoda raspoloživ u s</w:t>
      </w:r>
      <w:r w:rsidR="00F54B5F" w:rsidRPr="00153B1F">
        <w:rPr>
          <w:rFonts w:ascii="Times New Roman" w:hAnsi="Times New Roman" w:cs="Times New Roman"/>
          <w:sz w:val="24"/>
          <w:szCs w:val="24"/>
        </w:rPr>
        <w:t xml:space="preserve">ljedećem razdoblju </w:t>
      </w:r>
      <w:r w:rsidR="000722AF" w:rsidRPr="00153B1F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452B8B">
        <w:rPr>
          <w:rFonts w:ascii="Times New Roman" w:hAnsi="Times New Roman" w:cs="Times New Roman"/>
          <w:sz w:val="24"/>
          <w:szCs w:val="24"/>
        </w:rPr>
        <w:t>44,3</w:t>
      </w:r>
      <w:r w:rsidR="0001244E">
        <w:rPr>
          <w:rFonts w:ascii="Times New Roman" w:hAnsi="Times New Roman" w:cs="Times New Roman"/>
          <w:sz w:val="24"/>
          <w:szCs w:val="24"/>
        </w:rPr>
        <w:t>1</w:t>
      </w:r>
      <w:r w:rsidR="00452B8B">
        <w:rPr>
          <w:rFonts w:ascii="Times New Roman" w:hAnsi="Times New Roman" w:cs="Times New Roman"/>
          <w:sz w:val="24"/>
          <w:szCs w:val="24"/>
        </w:rPr>
        <w:t xml:space="preserve"> eura</w:t>
      </w:r>
      <w:r w:rsidR="001065B8" w:rsidRPr="00153B1F">
        <w:rPr>
          <w:rFonts w:ascii="Times New Roman" w:hAnsi="Times New Roman" w:cs="Times New Roman"/>
          <w:sz w:val="24"/>
          <w:szCs w:val="24"/>
        </w:rPr>
        <w:t xml:space="preserve"> koji</w:t>
      </w:r>
      <w:r w:rsidR="00F70CE9" w:rsidRPr="00153B1F">
        <w:rPr>
          <w:rFonts w:ascii="Times New Roman" w:hAnsi="Times New Roman" w:cs="Times New Roman"/>
          <w:sz w:val="24"/>
          <w:szCs w:val="24"/>
        </w:rPr>
        <w:t xml:space="preserve"> </w:t>
      </w:r>
      <w:r w:rsidRPr="00153B1F">
        <w:rPr>
          <w:rFonts w:ascii="Times New Roman" w:hAnsi="Times New Roman" w:cs="Times New Roman"/>
          <w:sz w:val="24"/>
          <w:szCs w:val="24"/>
        </w:rPr>
        <w:t>je rezultat neutrošenih sredstava. Ostvareni višak će se utrošiti u iduć</w:t>
      </w:r>
      <w:r w:rsidR="00B4722B">
        <w:rPr>
          <w:rFonts w:ascii="Times New Roman" w:hAnsi="Times New Roman" w:cs="Times New Roman"/>
          <w:sz w:val="24"/>
          <w:szCs w:val="24"/>
        </w:rPr>
        <w:t>e</w:t>
      </w:r>
      <w:r w:rsidRPr="00153B1F">
        <w:rPr>
          <w:rFonts w:ascii="Times New Roman" w:hAnsi="Times New Roman" w:cs="Times New Roman"/>
          <w:sz w:val="24"/>
          <w:szCs w:val="24"/>
        </w:rPr>
        <w:t>m obračunsk</w:t>
      </w:r>
      <w:r w:rsidR="00B4722B">
        <w:rPr>
          <w:rFonts w:ascii="Times New Roman" w:hAnsi="Times New Roman" w:cs="Times New Roman"/>
          <w:sz w:val="24"/>
          <w:szCs w:val="24"/>
        </w:rPr>
        <w:t>o</w:t>
      </w:r>
      <w:r w:rsidRPr="00153B1F">
        <w:rPr>
          <w:rFonts w:ascii="Times New Roman" w:hAnsi="Times New Roman" w:cs="Times New Roman"/>
          <w:sz w:val="24"/>
          <w:szCs w:val="24"/>
        </w:rPr>
        <w:t>m razdoblj</w:t>
      </w:r>
      <w:r w:rsidR="00B4722B">
        <w:rPr>
          <w:rFonts w:ascii="Times New Roman" w:hAnsi="Times New Roman" w:cs="Times New Roman"/>
          <w:sz w:val="24"/>
          <w:szCs w:val="24"/>
        </w:rPr>
        <w:t>u</w:t>
      </w:r>
      <w:r w:rsidRPr="00153B1F">
        <w:rPr>
          <w:rFonts w:ascii="Times New Roman" w:hAnsi="Times New Roman" w:cs="Times New Roman"/>
          <w:sz w:val="24"/>
          <w:szCs w:val="24"/>
        </w:rPr>
        <w:t xml:space="preserve"> prema Financijskom planu </w:t>
      </w:r>
      <w:r>
        <w:rPr>
          <w:rFonts w:ascii="Times New Roman" w:hAnsi="Times New Roman" w:cs="Times New Roman"/>
          <w:sz w:val="24"/>
          <w:szCs w:val="24"/>
        </w:rPr>
        <w:t>i Odluci o raspodjeli rezultata</w:t>
      </w:r>
      <w:r w:rsidRPr="00153B1F">
        <w:rPr>
          <w:rFonts w:ascii="Times New Roman" w:hAnsi="Times New Roman" w:cs="Times New Roman"/>
          <w:sz w:val="24"/>
          <w:szCs w:val="24"/>
        </w:rPr>
        <w:t>.</w:t>
      </w:r>
    </w:p>
    <w:p w:rsidR="00452B8B" w:rsidRPr="00153B1F" w:rsidRDefault="00452B8B" w:rsidP="00153B1F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Izvor financiranja Donacije – prihodi poslovanja ostvaren je višak prihoda raspoloživ u sljedećem razdoblju u iznosu od 893,88 eura koji je rezultat neutrošenih sredstava</w:t>
      </w:r>
      <w:r w:rsidR="00B4722B">
        <w:rPr>
          <w:rFonts w:ascii="Times New Roman" w:hAnsi="Times New Roman" w:cs="Times New Roman"/>
          <w:sz w:val="24"/>
          <w:szCs w:val="24"/>
        </w:rPr>
        <w:t>. Ostvareni višak će se utrošiti u idućem obračunskom razdoblju prema Financijskom planu i Odluci o raspodjeli rezultata.</w:t>
      </w:r>
    </w:p>
    <w:p w:rsidR="00255E8D" w:rsidRPr="00E92BE0" w:rsidRDefault="00153B1F" w:rsidP="00255E8D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Izvor financiranja Prihodi od prodaje imovine ostvaren je višak prihoda u iznosu od </w:t>
      </w:r>
      <w:r w:rsidR="00B4722B">
        <w:rPr>
          <w:rFonts w:ascii="Times New Roman" w:hAnsi="Times New Roman" w:cs="Times New Roman"/>
          <w:sz w:val="24"/>
          <w:szCs w:val="24"/>
        </w:rPr>
        <w:t>35.658,4</w:t>
      </w:r>
      <w:r w:rsidR="005F3DA3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B4722B">
        <w:rPr>
          <w:rFonts w:ascii="Times New Roman" w:hAnsi="Times New Roman" w:cs="Times New Roman"/>
          <w:sz w:val="24"/>
          <w:szCs w:val="24"/>
        </w:rPr>
        <w:t xml:space="preserve"> eura koji je</w:t>
      </w:r>
      <w:r>
        <w:rPr>
          <w:rFonts w:ascii="Times New Roman" w:hAnsi="Times New Roman" w:cs="Times New Roman"/>
          <w:sz w:val="24"/>
          <w:szCs w:val="24"/>
        </w:rPr>
        <w:t xml:space="preserve"> rezultat neutrošenih prenesenih sredstava. Ostvareni višak će se utrošiti u idućim obračunskim razdobljima prema Financijskom planu i Odluci o raspodjeli rezultata.</w:t>
      </w:r>
    </w:p>
    <w:p w:rsidR="0032199A" w:rsidRDefault="0032199A" w:rsidP="00AE40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199A" w:rsidRDefault="0032199A" w:rsidP="00AE40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40AA" w:rsidRPr="00F5501D" w:rsidRDefault="00AE40AA" w:rsidP="00AE40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501D">
        <w:rPr>
          <w:rFonts w:ascii="Times New Roman" w:hAnsi="Times New Roman" w:cs="Times New Roman"/>
          <w:b/>
          <w:sz w:val="24"/>
          <w:szCs w:val="24"/>
        </w:rPr>
        <w:t xml:space="preserve">BILJEŠKE UZ </w:t>
      </w:r>
      <w:r w:rsidR="00A14FEA" w:rsidRPr="00F5501D">
        <w:rPr>
          <w:rFonts w:ascii="Times New Roman" w:hAnsi="Times New Roman" w:cs="Times New Roman"/>
          <w:b/>
          <w:sz w:val="24"/>
          <w:szCs w:val="24"/>
        </w:rPr>
        <w:t xml:space="preserve">IZVJEŠTAJ O OBVEZAMA </w:t>
      </w:r>
    </w:p>
    <w:p w:rsidR="00AE40AA" w:rsidRPr="00F5501D" w:rsidRDefault="00AE40AA" w:rsidP="00AE40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40AA" w:rsidRDefault="001A7E6A" w:rsidP="00AE40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01D">
        <w:rPr>
          <w:rFonts w:ascii="Times New Roman" w:hAnsi="Times New Roman" w:cs="Times New Roman"/>
          <w:b/>
          <w:sz w:val="24"/>
          <w:szCs w:val="24"/>
        </w:rPr>
        <w:t>B</w:t>
      </w:r>
      <w:r w:rsidR="002E6784" w:rsidRPr="00F5501D">
        <w:rPr>
          <w:rFonts w:ascii="Times New Roman" w:hAnsi="Times New Roman" w:cs="Times New Roman"/>
          <w:b/>
          <w:sz w:val="24"/>
          <w:szCs w:val="24"/>
        </w:rPr>
        <w:t xml:space="preserve">ilješka broj </w:t>
      </w:r>
      <w:r w:rsidR="00AA7C04" w:rsidRPr="00F5501D">
        <w:rPr>
          <w:rFonts w:ascii="Times New Roman" w:hAnsi="Times New Roman" w:cs="Times New Roman"/>
          <w:b/>
          <w:sz w:val="24"/>
          <w:szCs w:val="24"/>
        </w:rPr>
        <w:t>1</w:t>
      </w:r>
    </w:p>
    <w:p w:rsidR="000E7247" w:rsidRDefault="0082120C" w:rsidP="00821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Stanje obveza na dan 1. siječnja 202</w:t>
      </w:r>
      <w:r w:rsidR="009B0295">
        <w:rPr>
          <w:rFonts w:ascii="Times New Roman" w:hAnsi="Times New Roman" w:cs="Times New Roman"/>
          <w:sz w:val="24"/>
          <w:szCs w:val="24"/>
        </w:rPr>
        <w:t>3</w:t>
      </w:r>
      <w:r w:rsidR="00666319">
        <w:rPr>
          <w:rFonts w:ascii="Times New Roman" w:hAnsi="Times New Roman" w:cs="Times New Roman"/>
          <w:sz w:val="24"/>
          <w:szCs w:val="24"/>
        </w:rPr>
        <w:t>. godine</w:t>
      </w:r>
      <w:r>
        <w:rPr>
          <w:rFonts w:ascii="Times New Roman" w:hAnsi="Times New Roman" w:cs="Times New Roman"/>
          <w:sz w:val="24"/>
          <w:szCs w:val="24"/>
        </w:rPr>
        <w:t xml:space="preserve"> iznosi </w:t>
      </w:r>
      <w:r w:rsidR="009B0295">
        <w:rPr>
          <w:rFonts w:ascii="Times New Roman" w:hAnsi="Times New Roman" w:cs="Times New Roman"/>
          <w:sz w:val="24"/>
          <w:szCs w:val="24"/>
        </w:rPr>
        <w:t>73.704,71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0295">
        <w:rPr>
          <w:rFonts w:ascii="Times New Roman" w:hAnsi="Times New Roman" w:cs="Times New Roman"/>
          <w:sz w:val="24"/>
          <w:szCs w:val="24"/>
        </w:rPr>
        <w:t>eura</w:t>
      </w:r>
      <w:r w:rsidR="00666319">
        <w:rPr>
          <w:rFonts w:ascii="Times New Roman" w:hAnsi="Times New Roman" w:cs="Times New Roman"/>
          <w:sz w:val="24"/>
          <w:szCs w:val="24"/>
        </w:rPr>
        <w:t xml:space="preserve"> (</w:t>
      </w:r>
      <w:r w:rsidR="00325965">
        <w:rPr>
          <w:rFonts w:ascii="Times New Roman" w:hAnsi="Times New Roman" w:cs="Times New Roman"/>
          <w:sz w:val="24"/>
          <w:szCs w:val="24"/>
        </w:rPr>
        <w:t>šifra</w:t>
      </w:r>
      <w:r w:rsidR="00666319">
        <w:rPr>
          <w:rFonts w:ascii="Times New Roman" w:hAnsi="Times New Roman" w:cs="Times New Roman"/>
          <w:sz w:val="24"/>
          <w:szCs w:val="24"/>
        </w:rPr>
        <w:t xml:space="preserve"> </w:t>
      </w:r>
      <w:r w:rsidR="00325965">
        <w:rPr>
          <w:rFonts w:ascii="Times New Roman" w:hAnsi="Times New Roman" w:cs="Times New Roman"/>
          <w:sz w:val="24"/>
          <w:szCs w:val="24"/>
        </w:rPr>
        <w:t>V</w:t>
      </w:r>
      <w:r w:rsidR="00666319">
        <w:rPr>
          <w:rFonts w:ascii="Times New Roman" w:hAnsi="Times New Roman" w:cs="Times New Roman"/>
          <w:sz w:val="24"/>
          <w:szCs w:val="24"/>
        </w:rPr>
        <w:t>001)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120C" w:rsidRDefault="0082120C" w:rsidP="00821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Tijekom 202</w:t>
      </w:r>
      <w:r w:rsidR="009B029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godine obveze su povećane </w:t>
      </w:r>
      <w:r w:rsidR="000F10B4">
        <w:rPr>
          <w:rFonts w:ascii="Times New Roman" w:hAnsi="Times New Roman" w:cs="Times New Roman"/>
          <w:sz w:val="24"/>
          <w:szCs w:val="24"/>
        </w:rPr>
        <w:t>u iznosu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0295">
        <w:rPr>
          <w:rFonts w:ascii="Times New Roman" w:hAnsi="Times New Roman" w:cs="Times New Roman"/>
          <w:sz w:val="24"/>
          <w:szCs w:val="24"/>
        </w:rPr>
        <w:t>965.451,25 eura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25965">
        <w:rPr>
          <w:rFonts w:ascii="Times New Roman" w:hAnsi="Times New Roman" w:cs="Times New Roman"/>
          <w:sz w:val="24"/>
          <w:szCs w:val="24"/>
        </w:rPr>
        <w:t>šifra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5965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002), a u istom razdoblju podmirene su obveze u iznosu od </w:t>
      </w:r>
      <w:r w:rsidR="009B0295">
        <w:rPr>
          <w:rFonts w:ascii="Times New Roman" w:hAnsi="Times New Roman" w:cs="Times New Roman"/>
          <w:sz w:val="24"/>
          <w:szCs w:val="24"/>
        </w:rPr>
        <w:t>931.752,19 eura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25965">
        <w:rPr>
          <w:rFonts w:ascii="Times New Roman" w:hAnsi="Times New Roman" w:cs="Times New Roman"/>
          <w:sz w:val="24"/>
          <w:szCs w:val="24"/>
        </w:rPr>
        <w:t>šifra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5965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0</w:t>
      </w:r>
      <w:r w:rsidR="000E7247">
        <w:rPr>
          <w:rFonts w:ascii="Times New Roman" w:hAnsi="Times New Roman" w:cs="Times New Roman"/>
          <w:sz w:val="24"/>
          <w:szCs w:val="24"/>
        </w:rPr>
        <w:t>0</w:t>
      </w:r>
      <w:r w:rsidR="0032596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), te ukupne obveze na dan 31. prosinca 202</w:t>
      </w:r>
      <w:r w:rsidR="009B029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godine iznose </w:t>
      </w:r>
      <w:r w:rsidR="009B0295">
        <w:rPr>
          <w:rFonts w:ascii="Times New Roman" w:hAnsi="Times New Roman" w:cs="Times New Roman"/>
          <w:sz w:val="24"/>
          <w:szCs w:val="24"/>
        </w:rPr>
        <w:t>107.403,77 eura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25965">
        <w:rPr>
          <w:rFonts w:ascii="Times New Roman" w:hAnsi="Times New Roman" w:cs="Times New Roman"/>
          <w:sz w:val="24"/>
          <w:szCs w:val="24"/>
        </w:rPr>
        <w:t>šifra V</w:t>
      </w:r>
      <w:r>
        <w:rPr>
          <w:rFonts w:ascii="Times New Roman" w:hAnsi="Times New Roman" w:cs="Times New Roman"/>
          <w:sz w:val="24"/>
          <w:szCs w:val="24"/>
        </w:rPr>
        <w:t>0</w:t>
      </w:r>
      <w:r w:rsidR="00325965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31290B" w:rsidRDefault="00182FA5" w:rsidP="00182F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CA0">
        <w:rPr>
          <w:rFonts w:ascii="Times New Roman" w:hAnsi="Times New Roman" w:cs="Times New Roman"/>
          <w:sz w:val="24"/>
          <w:szCs w:val="24"/>
        </w:rPr>
        <w:t>Škola nema nepodmirenih dospjelih obveza</w:t>
      </w:r>
      <w:r w:rsidR="00DF0476" w:rsidRPr="00653CA0">
        <w:rPr>
          <w:rFonts w:ascii="Times New Roman" w:hAnsi="Times New Roman" w:cs="Times New Roman"/>
          <w:sz w:val="24"/>
          <w:szCs w:val="24"/>
        </w:rPr>
        <w:t xml:space="preserve"> na dan 31. prosinca 202</w:t>
      </w:r>
      <w:r w:rsidR="009B0295">
        <w:rPr>
          <w:rFonts w:ascii="Times New Roman" w:hAnsi="Times New Roman" w:cs="Times New Roman"/>
          <w:sz w:val="24"/>
          <w:szCs w:val="24"/>
        </w:rPr>
        <w:t>3</w:t>
      </w:r>
      <w:r w:rsidR="00DF0476" w:rsidRPr="00653CA0">
        <w:rPr>
          <w:rFonts w:ascii="Times New Roman" w:hAnsi="Times New Roman" w:cs="Times New Roman"/>
          <w:sz w:val="24"/>
          <w:szCs w:val="24"/>
        </w:rPr>
        <w:t>. godine</w:t>
      </w:r>
      <w:r w:rsidR="005825BF">
        <w:rPr>
          <w:rFonts w:ascii="Times New Roman" w:hAnsi="Times New Roman" w:cs="Times New Roman"/>
          <w:sz w:val="24"/>
          <w:szCs w:val="24"/>
        </w:rPr>
        <w:t xml:space="preserve"> pa </w:t>
      </w:r>
      <w:r w:rsidR="00DF0476">
        <w:rPr>
          <w:rFonts w:ascii="Times New Roman" w:hAnsi="Times New Roman" w:cs="Times New Roman"/>
          <w:sz w:val="24"/>
          <w:szCs w:val="24"/>
        </w:rPr>
        <w:t>ukupn</w:t>
      </w:r>
      <w:r w:rsidR="005825BF">
        <w:rPr>
          <w:rFonts w:ascii="Times New Roman" w:hAnsi="Times New Roman" w:cs="Times New Roman"/>
          <w:sz w:val="24"/>
          <w:szCs w:val="24"/>
        </w:rPr>
        <w:t>e</w:t>
      </w:r>
      <w:r w:rsidR="00DF0476">
        <w:rPr>
          <w:rFonts w:ascii="Times New Roman" w:hAnsi="Times New Roman" w:cs="Times New Roman"/>
          <w:sz w:val="24"/>
          <w:szCs w:val="24"/>
        </w:rPr>
        <w:t xml:space="preserve"> nedospjel</w:t>
      </w:r>
      <w:r w:rsidR="005825BF">
        <w:rPr>
          <w:rFonts w:ascii="Times New Roman" w:hAnsi="Times New Roman" w:cs="Times New Roman"/>
          <w:sz w:val="24"/>
          <w:szCs w:val="24"/>
        </w:rPr>
        <w:t>e</w:t>
      </w:r>
      <w:r w:rsidR="00DF0476">
        <w:rPr>
          <w:rFonts w:ascii="Times New Roman" w:hAnsi="Times New Roman" w:cs="Times New Roman"/>
          <w:sz w:val="24"/>
          <w:szCs w:val="24"/>
        </w:rPr>
        <w:t xml:space="preserve"> obvez</w:t>
      </w:r>
      <w:r w:rsidR="00B40E77">
        <w:rPr>
          <w:rFonts w:ascii="Times New Roman" w:hAnsi="Times New Roman" w:cs="Times New Roman"/>
          <w:sz w:val="24"/>
          <w:szCs w:val="24"/>
        </w:rPr>
        <w:t>e</w:t>
      </w:r>
      <w:r w:rsidR="00DF0476">
        <w:rPr>
          <w:rFonts w:ascii="Times New Roman" w:hAnsi="Times New Roman" w:cs="Times New Roman"/>
          <w:sz w:val="24"/>
          <w:szCs w:val="24"/>
        </w:rPr>
        <w:t xml:space="preserve"> Škole </w:t>
      </w:r>
      <w:r w:rsidR="00723AFD">
        <w:rPr>
          <w:rFonts w:ascii="Times New Roman" w:hAnsi="Times New Roman" w:cs="Times New Roman"/>
          <w:sz w:val="24"/>
          <w:szCs w:val="24"/>
        </w:rPr>
        <w:t>na dan 31. prosinca 202</w:t>
      </w:r>
      <w:r w:rsidR="009B0295">
        <w:rPr>
          <w:rFonts w:ascii="Times New Roman" w:hAnsi="Times New Roman" w:cs="Times New Roman"/>
          <w:sz w:val="24"/>
          <w:szCs w:val="24"/>
        </w:rPr>
        <w:t>3</w:t>
      </w:r>
      <w:r w:rsidR="00723AFD">
        <w:rPr>
          <w:rFonts w:ascii="Times New Roman" w:hAnsi="Times New Roman" w:cs="Times New Roman"/>
          <w:sz w:val="24"/>
          <w:szCs w:val="24"/>
        </w:rPr>
        <w:t>. godine</w:t>
      </w:r>
      <w:r w:rsidR="00723AFD" w:rsidRPr="00653CA0">
        <w:rPr>
          <w:rFonts w:ascii="Times New Roman" w:hAnsi="Times New Roman" w:cs="Times New Roman"/>
          <w:sz w:val="24"/>
          <w:szCs w:val="24"/>
        </w:rPr>
        <w:t xml:space="preserve"> </w:t>
      </w:r>
      <w:r w:rsidR="00723AFD">
        <w:rPr>
          <w:rFonts w:ascii="Times New Roman" w:hAnsi="Times New Roman" w:cs="Times New Roman"/>
          <w:sz w:val="24"/>
          <w:szCs w:val="24"/>
        </w:rPr>
        <w:t xml:space="preserve"> </w:t>
      </w:r>
      <w:r w:rsidR="005825BF">
        <w:rPr>
          <w:rFonts w:ascii="Times New Roman" w:hAnsi="Times New Roman" w:cs="Times New Roman"/>
          <w:sz w:val="24"/>
          <w:szCs w:val="24"/>
        </w:rPr>
        <w:t>iznose</w:t>
      </w:r>
      <w:r w:rsidR="00653CA0" w:rsidRPr="00653CA0">
        <w:rPr>
          <w:rFonts w:ascii="Times New Roman" w:hAnsi="Times New Roman" w:cs="Times New Roman"/>
          <w:sz w:val="24"/>
          <w:szCs w:val="24"/>
        </w:rPr>
        <w:t xml:space="preserve"> </w:t>
      </w:r>
      <w:r w:rsidR="009B0295">
        <w:rPr>
          <w:rFonts w:ascii="Times New Roman" w:hAnsi="Times New Roman" w:cs="Times New Roman"/>
          <w:sz w:val="24"/>
          <w:szCs w:val="24"/>
        </w:rPr>
        <w:t>107.403,77 eura</w:t>
      </w:r>
      <w:r w:rsidR="0071641A">
        <w:rPr>
          <w:rFonts w:ascii="Times New Roman" w:hAnsi="Times New Roman" w:cs="Times New Roman"/>
          <w:sz w:val="24"/>
          <w:szCs w:val="24"/>
        </w:rPr>
        <w:t xml:space="preserve"> </w:t>
      </w:r>
      <w:r w:rsidR="0071641A" w:rsidRPr="00653CA0">
        <w:rPr>
          <w:rFonts w:ascii="Times New Roman" w:hAnsi="Times New Roman" w:cs="Times New Roman"/>
          <w:sz w:val="24"/>
          <w:szCs w:val="24"/>
        </w:rPr>
        <w:t>(</w:t>
      </w:r>
      <w:r w:rsidR="00325965">
        <w:rPr>
          <w:rFonts w:ascii="Times New Roman" w:hAnsi="Times New Roman" w:cs="Times New Roman"/>
          <w:sz w:val="24"/>
          <w:szCs w:val="24"/>
        </w:rPr>
        <w:t>šifra</w:t>
      </w:r>
      <w:r w:rsidR="0071641A" w:rsidRPr="00653CA0">
        <w:rPr>
          <w:rFonts w:ascii="Times New Roman" w:hAnsi="Times New Roman" w:cs="Times New Roman"/>
          <w:sz w:val="24"/>
          <w:szCs w:val="24"/>
        </w:rPr>
        <w:t xml:space="preserve"> </w:t>
      </w:r>
      <w:r w:rsidR="00325965">
        <w:rPr>
          <w:rFonts w:ascii="Times New Roman" w:hAnsi="Times New Roman" w:cs="Times New Roman"/>
          <w:sz w:val="24"/>
          <w:szCs w:val="24"/>
        </w:rPr>
        <w:t>V009</w:t>
      </w:r>
      <w:r w:rsidR="0071641A">
        <w:rPr>
          <w:rFonts w:ascii="Times New Roman" w:hAnsi="Times New Roman" w:cs="Times New Roman"/>
          <w:sz w:val="24"/>
          <w:szCs w:val="24"/>
        </w:rPr>
        <w:t>)</w:t>
      </w:r>
      <w:r w:rsidR="00DF0476">
        <w:rPr>
          <w:rFonts w:ascii="Times New Roman" w:hAnsi="Times New Roman" w:cs="Times New Roman"/>
          <w:sz w:val="24"/>
          <w:szCs w:val="24"/>
        </w:rPr>
        <w:t>:</w:t>
      </w:r>
    </w:p>
    <w:p w:rsidR="00653CA0" w:rsidRDefault="00653CA0" w:rsidP="006517E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848"/>
        <w:gridCol w:w="6948"/>
        <w:gridCol w:w="1724"/>
      </w:tblGrid>
      <w:tr w:rsidR="00FF70BD" w:rsidTr="00FF70BD">
        <w:tc>
          <w:tcPr>
            <w:tcW w:w="0" w:type="auto"/>
            <w:shd w:val="clear" w:color="auto" w:fill="D9D9D9" w:themeFill="background1" w:themeFillShade="D9"/>
          </w:tcPr>
          <w:p w:rsidR="00FF70BD" w:rsidRDefault="00FF70BD" w:rsidP="0031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Red. br.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FF70BD" w:rsidRDefault="00FF70BD" w:rsidP="0031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FF70BD" w:rsidRDefault="00FF70BD" w:rsidP="00A11C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Nedospjele obveze</w:t>
            </w:r>
          </w:p>
          <w:p w:rsidR="00FF70BD" w:rsidRDefault="00FF70BD" w:rsidP="00E95F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CE1">
              <w:rPr>
                <w:rFonts w:ascii="Times New Roman" w:hAnsi="Times New Roman" w:cs="Times New Roman"/>
                <w:sz w:val="24"/>
                <w:szCs w:val="24"/>
              </w:rPr>
              <w:t xml:space="preserve">(u </w:t>
            </w:r>
            <w:r w:rsidR="00E95F80">
              <w:rPr>
                <w:rFonts w:ascii="Times New Roman" w:hAnsi="Times New Roman" w:cs="Times New Roman"/>
                <w:sz w:val="24"/>
                <w:szCs w:val="24"/>
              </w:rPr>
              <w:t>eurima</w:t>
            </w:r>
            <w:r w:rsidRPr="00A11C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F70BD" w:rsidTr="00FF70BD">
        <w:tc>
          <w:tcPr>
            <w:tcW w:w="0" w:type="auto"/>
          </w:tcPr>
          <w:p w:rsidR="00FF70BD" w:rsidRDefault="00FF70BD" w:rsidP="0031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FF70BD" w:rsidRDefault="00FF70BD" w:rsidP="009B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Obveze za zaposlene – plaća za prosinac 202</w:t>
            </w:r>
            <w:r w:rsidR="009B02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godine</w:t>
            </w:r>
          </w:p>
        </w:tc>
        <w:tc>
          <w:tcPr>
            <w:tcW w:w="0" w:type="auto"/>
          </w:tcPr>
          <w:p w:rsidR="00FF70BD" w:rsidRDefault="009B0295" w:rsidP="00182F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71.957,49</w:t>
            </w:r>
          </w:p>
        </w:tc>
      </w:tr>
      <w:tr w:rsidR="00FF70BD" w:rsidTr="00FF70BD">
        <w:tc>
          <w:tcPr>
            <w:tcW w:w="0" w:type="auto"/>
          </w:tcPr>
          <w:p w:rsidR="00FF70BD" w:rsidRDefault="00FF70BD" w:rsidP="0031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FF70BD" w:rsidRDefault="00FF70BD" w:rsidP="009B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Obveze prema dobavljačima</w:t>
            </w:r>
            <w:r w:rsidR="000F10B4">
              <w:rPr>
                <w:rFonts w:ascii="Times New Roman" w:hAnsi="Times New Roman" w:cs="Times New Roman"/>
                <w:sz w:val="24"/>
                <w:szCs w:val="24"/>
              </w:rPr>
              <w:t>- nedospjeli računi za prosinac 202</w:t>
            </w:r>
            <w:r w:rsidR="009B02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F70BD" w:rsidRDefault="00A44E48" w:rsidP="00182F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25.243,79</w:t>
            </w:r>
          </w:p>
        </w:tc>
      </w:tr>
      <w:tr w:rsidR="00FF70BD" w:rsidTr="00FF70BD">
        <w:tc>
          <w:tcPr>
            <w:tcW w:w="0" w:type="auto"/>
          </w:tcPr>
          <w:p w:rsidR="00FF70BD" w:rsidRDefault="00FF70BD" w:rsidP="0031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FF70BD" w:rsidRDefault="00FF70BD" w:rsidP="009B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32">
              <w:rPr>
                <w:rFonts w:ascii="Times New Roman" w:hAnsi="Times New Roman" w:cs="Times New Roman"/>
                <w:sz w:val="24"/>
                <w:szCs w:val="24"/>
              </w:rPr>
              <w:t xml:space="preserve">Obveze za obračunatu novčanu naknadu za nezapošljavanje osoba s invaliditetom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prosinac</w:t>
            </w:r>
            <w:r w:rsidRPr="004E6532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9B02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6532">
              <w:rPr>
                <w:rFonts w:ascii="Times New Roman" w:hAnsi="Times New Roman" w:cs="Times New Roman"/>
                <w:sz w:val="24"/>
                <w:szCs w:val="24"/>
              </w:rPr>
              <w:t>. godine</w:t>
            </w:r>
          </w:p>
        </w:tc>
        <w:tc>
          <w:tcPr>
            <w:tcW w:w="0" w:type="auto"/>
          </w:tcPr>
          <w:p w:rsidR="00FF70BD" w:rsidRDefault="009B0295" w:rsidP="00182F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140,00</w:t>
            </w:r>
          </w:p>
        </w:tc>
      </w:tr>
      <w:tr w:rsidR="00FF70BD" w:rsidTr="00FF70BD">
        <w:tc>
          <w:tcPr>
            <w:tcW w:w="0" w:type="auto"/>
          </w:tcPr>
          <w:p w:rsidR="00FF70BD" w:rsidRDefault="00FF70BD" w:rsidP="0031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FF70BD" w:rsidRDefault="00FF70BD" w:rsidP="00FB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Međusobne obveze – obveze za povrat u Državni proračun </w:t>
            </w:r>
            <w:r w:rsidRPr="00F5501D">
              <w:rPr>
                <w:rFonts w:ascii="Times New Roman" w:hAnsi="Times New Roman" w:cs="Times New Roman"/>
                <w:sz w:val="24"/>
                <w:szCs w:val="24"/>
              </w:rPr>
              <w:t>naknad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za</w:t>
            </w:r>
            <w:r w:rsidRPr="00F5501D">
              <w:rPr>
                <w:rFonts w:ascii="Times New Roman" w:hAnsi="Times New Roman" w:cs="Times New Roman"/>
                <w:sz w:val="24"/>
                <w:szCs w:val="24"/>
              </w:rPr>
              <w:t xml:space="preserve"> bolovanj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F5501D">
              <w:rPr>
                <w:rFonts w:ascii="Times New Roman" w:hAnsi="Times New Roman" w:cs="Times New Roman"/>
                <w:sz w:val="24"/>
                <w:szCs w:val="24"/>
              </w:rPr>
              <w:t xml:space="preserve"> na teret HZZO</w:t>
            </w:r>
            <w:r w:rsidR="000F10B4">
              <w:rPr>
                <w:rFonts w:ascii="Times New Roman" w:hAnsi="Times New Roman" w:cs="Times New Roman"/>
                <w:sz w:val="24"/>
                <w:szCs w:val="24"/>
              </w:rPr>
              <w:t xml:space="preserve"> račun 23958</w:t>
            </w:r>
          </w:p>
        </w:tc>
        <w:tc>
          <w:tcPr>
            <w:tcW w:w="0" w:type="auto"/>
          </w:tcPr>
          <w:p w:rsidR="00FF70BD" w:rsidRDefault="009B0295" w:rsidP="00182F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10.062,49</w:t>
            </w:r>
          </w:p>
        </w:tc>
      </w:tr>
      <w:tr w:rsidR="00FF70BD" w:rsidTr="00FF70BD">
        <w:trPr>
          <w:trHeight w:val="382"/>
        </w:trPr>
        <w:tc>
          <w:tcPr>
            <w:tcW w:w="0" w:type="auto"/>
            <w:gridSpan w:val="2"/>
            <w:shd w:val="clear" w:color="auto" w:fill="D9D9D9" w:themeFill="background1" w:themeFillShade="D9"/>
            <w:vAlign w:val="center"/>
          </w:tcPr>
          <w:p w:rsidR="00FF70BD" w:rsidRPr="00182FA5" w:rsidRDefault="00FF70BD" w:rsidP="00182F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FA5">
              <w:rPr>
                <w:rFonts w:ascii="Times New Roman" w:hAnsi="Times New Roman" w:cs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F70BD" w:rsidRPr="00182FA5" w:rsidRDefault="00A44E48" w:rsidP="002D6B0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107.403,77</w:t>
            </w:r>
          </w:p>
        </w:tc>
      </w:tr>
    </w:tbl>
    <w:p w:rsidR="00AA7C04" w:rsidRPr="00F5501D" w:rsidRDefault="00AA7C04" w:rsidP="00312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848" w:rsidRDefault="00E848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8272C" w:rsidRDefault="00F8272C" w:rsidP="00AE4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72C" w:rsidRPr="00F5501D" w:rsidRDefault="003722C0" w:rsidP="00F827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501D">
        <w:rPr>
          <w:rFonts w:ascii="Times New Roman" w:hAnsi="Times New Roman" w:cs="Times New Roman"/>
          <w:b/>
          <w:sz w:val="24"/>
          <w:szCs w:val="24"/>
        </w:rPr>
        <w:t xml:space="preserve">BILJEŠKE UZ </w:t>
      </w:r>
      <w:r w:rsidR="00914794" w:rsidRPr="00F5501D">
        <w:rPr>
          <w:rFonts w:ascii="Times New Roman" w:hAnsi="Times New Roman" w:cs="Times New Roman"/>
          <w:b/>
          <w:sz w:val="24"/>
          <w:szCs w:val="24"/>
        </w:rPr>
        <w:t xml:space="preserve">IZVJEŠTAJ O PROMJENAMA U VRIJEDNOSTI I OBUJMU IMOVINE I OBVEZA </w:t>
      </w:r>
    </w:p>
    <w:p w:rsidR="00F8272C" w:rsidRPr="00F5501D" w:rsidRDefault="00F8272C" w:rsidP="00F8272C">
      <w:pPr>
        <w:pStyle w:val="Uvuenotijeloteksta"/>
        <w:ind w:left="0"/>
      </w:pPr>
    </w:p>
    <w:p w:rsidR="00F8272C" w:rsidRDefault="00B572D5" w:rsidP="00F827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01D">
        <w:rPr>
          <w:rFonts w:ascii="Times New Roman" w:hAnsi="Times New Roman" w:cs="Times New Roman"/>
          <w:b/>
          <w:sz w:val="24"/>
          <w:szCs w:val="24"/>
        </w:rPr>
        <w:t>B</w:t>
      </w:r>
      <w:r w:rsidR="002E6784" w:rsidRPr="00F5501D">
        <w:rPr>
          <w:rFonts w:ascii="Times New Roman" w:hAnsi="Times New Roman" w:cs="Times New Roman"/>
          <w:b/>
          <w:sz w:val="24"/>
          <w:szCs w:val="24"/>
        </w:rPr>
        <w:t xml:space="preserve">ilješka broj </w:t>
      </w:r>
      <w:r w:rsidR="003722C0" w:rsidRPr="00F5501D">
        <w:rPr>
          <w:rFonts w:ascii="Times New Roman" w:hAnsi="Times New Roman" w:cs="Times New Roman"/>
          <w:b/>
          <w:sz w:val="24"/>
          <w:szCs w:val="24"/>
        </w:rPr>
        <w:t>1</w:t>
      </w:r>
      <w:r w:rsidR="00F8272C" w:rsidRPr="00F550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20E1" w:rsidRPr="00C21400" w:rsidRDefault="009720E1" w:rsidP="00F8272C">
      <w:pPr>
        <w:pStyle w:val="Uvuenotijeloteksta"/>
        <w:ind w:left="0"/>
        <w:jc w:val="both"/>
      </w:pPr>
    </w:p>
    <w:p w:rsidR="00BB1000" w:rsidRDefault="00AD3340" w:rsidP="00F8272C">
      <w:pPr>
        <w:pStyle w:val="Uvuenotijeloteksta"/>
        <w:ind w:left="0"/>
        <w:jc w:val="both"/>
      </w:pPr>
      <w:r w:rsidRPr="00AD3340">
        <w:t>U 202</w:t>
      </w:r>
      <w:r w:rsidR="009A4D7B">
        <w:t>3</w:t>
      </w:r>
      <w:r w:rsidRPr="00AD3340">
        <w:t xml:space="preserve">. godini </w:t>
      </w:r>
      <w:r w:rsidR="00BB1000">
        <w:t xml:space="preserve">na šifri 9151 – Promjene u vrijednosti i obujmu imovine iznos  povećanja je </w:t>
      </w:r>
      <w:r w:rsidR="009A4D7B">
        <w:t>534,07 eura</w:t>
      </w:r>
      <w:r w:rsidR="00BB1000">
        <w:t xml:space="preserve">, jer </w:t>
      </w:r>
      <w:r w:rsidR="009A4D7B">
        <w:t>je dio  imovine koja se vodila u poslovnim knjigama MZO isknjižen i prenesen u poslovne knjige Škole, Odluka MZO od 30.06.2023. godine (</w:t>
      </w:r>
      <w:r w:rsidR="00091D00">
        <w:t xml:space="preserve">Projekt podrška provedbi Cjelovite </w:t>
      </w:r>
      <w:proofErr w:type="spellStart"/>
      <w:r w:rsidR="00091D00">
        <w:t>kurikularne</w:t>
      </w:r>
      <w:proofErr w:type="spellEnd"/>
      <w:r w:rsidR="00091D00">
        <w:t xml:space="preserve"> reforme- CKR)</w:t>
      </w:r>
    </w:p>
    <w:p w:rsidR="009F091E" w:rsidRDefault="00BB1000" w:rsidP="00F8272C">
      <w:pPr>
        <w:pStyle w:val="Uvuenotijeloteksta"/>
        <w:ind w:left="0"/>
        <w:jc w:val="both"/>
      </w:pPr>
      <w:r>
        <w:t>Na šifri 9152 – Promjene u vrijednosti i obujmu obveza iznos smanjenja/povećanja je 0,00 kn, jer Škola nije imala promjene knjižene preko računa 915</w:t>
      </w:r>
      <w:r w:rsidR="009A4D7B">
        <w:t>2</w:t>
      </w:r>
      <w:r w:rsidR="00AD3340" w:rsidRPr="00AD3340">
        <w:t xml:space="preserve"> </w:t>
      </w:r>
    </w:p>
    <w:p w:rsidR="009A3A35" w:rsidRDefault="009A3A35" w:rsidP="00F8272C">
      <w:pPr>
        <w:pStyle w:val="Uvuenotijeloteksta"/>
        <w:ind w:left="0"/>
        <w:jc w:val="both"/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3729"/>
        <w:gridCol w:w="1535"/>
        <w:gridCol w:w="2227"/>
        <w:gridCol w:w="2029"/>
      </w:tblGrid>
      <w:tr w:rsidR="004919A1" w:rsidRPr="004919A1" w:rsidTr="004919A1"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4919A1" w:rsidRPr="004919A1" w:rsidRDefault="004919A1" w:rsidP="00491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Opis promjene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4919A1" w:rsidRDefault="004919A1" w:rsidP="00491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Iznos</w:t>
            </w:r>
          </w:p>
          <w:p w:rsidR="004919A1" w:rsidRPr="004919A1" w:rsidRDefault="004919A1" w:rsidP="00091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(u </w:t>
            </w:r>
            <w:r w:rsidR="00091D00">
              <w:rPr>
                <w:rFonts w:ascii="Times New Roman" w:hAnsi="Times New Roman" w:cs="Times New Roman"/>
                <w:b/>
                <w:sz w:val="24"/>
                <w:szCs w:val="24"/>
              </w:rPr>
              <w:t>eurima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919A1" w:rsidRPr="004919A1" w:rsidRDefault="00091D00" w:rsidP="00491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Smanjenje/</w:t>
            </w:r>
            <w:r w:rsidR="004919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povećanje</w:t>
            </w:r>
          </w:p>
        </w:tc>
        <w:tc>
          <w:tcPr>
            <w:tcW w:w="2091" w:type="dxa"/>
            <w:shd w:val="clear" w:color="auto" w:fill="D9D9D9" w:themeFill="background1" w:themeFillShade="D9"/>
            <w:vAlign w:val="center"/>
          </w:tcPr>
          <w:p w:rsidR="004919A1" w:rsidRPr="004919A1" w:rsidRDefault="004976C0" w:rsidP="004919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Šifra</w:t>
            </w:r>
          </w:p>
        </w:tc>
      </w:tr>
      <w:tr w:rsidR="004919A1" w:rsidTr="004919A1">
        <w:tc>
          <w:tcPr>
            <w:tcW w:w="3828" w:type="dxa"/>
          </w:tcPr>
          <w:p w:rsidR="004919A1" w:rsidRDefault="00091D00" w:rsidP="004919A1">
            <w:pPr>
              <w:pStyle w:val="Uvuenotijeloteksta"/>
              <w:ind w:left="0"/>
            </w:pPr>
            <w:proofErr w:type="spellStart"/>
            <w:r>
              <w:t>Neproizvedena</w:t>
            </w:r>
            <w:proofErr w:type="spellEnd"/>
            <w:r>
              <w:t xml:space="preserve"> dugotrajna imovina</w:t>
            </w:r>
          </w:p>
        </w:tc>
        <w:tc>
          <w:tcPr>
            <w:tcW w:w="1559" w:type="dxa"/>
          </w:tcPr>
          <w:p w:rsidR="004919A1" w:rsidRDefault="00091D00" w:rsidP="004919A1">
            <w:pPr>
              <w:pStyle w:val="Uvuenotijeloteksta"/>
              <w:ind w:left="0"/>
              <w:jc w:val="right"/>
            </w:pPr>
            <w:r>
              <w:t>534,07</w:t>
            </w:r>
          </w:p>
        </w:tc>
        <w:tc>
          <w:tcPr>
            <w:tcW w:w="2268" w:type="dxa"/>
          </w:tcPr>
          <w:p w:rsidR="004919A1" w:rsidRDefault="00091D00" w:rsidP="00091D00">
            <w:pPr>
              <w:pStyle w:val="Uvuenotijeloteksta"/>
              <w:ind w:left="0"/>
              <w:jc w:val="right"/>
            </w:pPr>
            <w:r>
              <w:t>povećanje</w:t>
            </w:r>
          </w:p>
        </w:tc>
        <w:tc>
          <w:tcPr>
            <w:tcW w:w="2091" w:type="dxa"/>
          </w:tcPr>
          <w:p w:rsidR="004919A1" w:rsidRDefault="00091D00" w:rsidP="00DE17AC">
            <w:pPr>
              <w:pStyle w:val="Uvuenotijeloteksta"/>
              <w:ind w:left="0"/>
              <w:jc w:val="right"/>
            </w:pPr>
            <w:r>
              <w:t>P01</w:t>
            </w:r>
            <w:r w:rsidR="00DE17AC">
              <w:t>8</w:t>
            </w:r>
          </w:p>
        </w:tc>
      </w:tr>
    </w:tbl>
    <w:p w:rsidR="00915A5E" w:rsidRDefault="00915A5E" w:rsidP="00D439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5A5E" w:rsidRDefault="00915A5E" w:rsidP="00D439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3A35" w:rsidRDefault="009A3A35" w:rsidP="00D439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39BA" w:rsidRPr="00F9664F" w:rsidRDefault="00D439BA" w:rsidP="00D439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501D">
        <w:rPr>
          <w:rFonts w:ascii="Times New Roman" w:hAnsi="Times New Roman" w:cs="Times New Roman"/>
          <w:b/>
          <w:sz w:val="24"/>
          <w:szCs w:val="24"/>
        </w:rPr>
        <w:t xml:space="preserve">BILJEŠKE UZ </w:t>
      </w:r>
      <w:r w:rsidR="00914794" w:rsidRPr="00F5501D">
        <w:rPr>
          <w:rFonts w:ascii="Times New Roman" w:hAnsi="Times New Roman" w:cs="Times New Roman"/>
          <w:b/>
          <w:sz w:val="24"/>
          <w:szCs w:val="24"/>
        </w:rPr>
        <w:t xml:space="preserve">IZVJEŠTAJ O RASHODIMA PREMA FUNKCIJSKOJ KLASIFIKACIJI </w:t>
      </w:r>
    </w:p>
    <w:p w:rsidR="00D439BA" w:rsidRPr="00F9664F" w:rsidRDefault="00D439BA" w:rsidP="00D439BA">
      <w:pPr>
        <w:pStyle w:val="Uvuenotijeloteksta"/>
        <w:ind w:left="0"/>
      </w:pPr>
    </w:p>
    <w:p w:rsidR="00D439BA" w:rsidRDefault="00D439BA" w:rsidP="00D439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64F">
        <w:rPr>
          <w:rFonts w:ascii="Times New Roman" w:hAnsi="Times New Roman" w:cs="Times New Roman"/>
          <w:b/>
          <w:sz w:val="24"/>
          <w:szCs w:val="24"/>
        </w:rPr>
        <w:t xml:space="preserve">Bilješka broj 1 </w:t>
      </w:r>
    </w:p>
    <w:p w:rsidR="00E95F80" w:rsidRPr="00F9664F" w:rsidRDefault="00E95F80" w:rsidP="00D439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000" w:rsidRDefault="00BF3E85" w:rsidP="00F8272C">
      <w:pPr>
        <w:pStyle w:val="Uvuenotijeloteksta"/>
        <w:ind w:left="0"/>
        <w:jc w:val="both"/>
      </w:pPr>
      <w:r>
        <w:t>Šifra 09</w:t>
      </w:r>
      <w:r w:rsidR="00A14FEA" w:rsidRPr="00C21400">
        <w:t xml:space="preserve"> </w:t>
      </w:r>
      <w:r w:rsidR="002F6B70" w:rsidRPr="00C21400">
        <w:t xml:space="preserve">- </w:t>
      </w:r>
      <w:r w:rsidR="00A14FEA" w:rsidRPr="00C21400">
        <w:t>iskazani su rashodi za funkciju 09</w:t>
      </w:r>
      <w:r w:rsidR="00055AF5" w:rsidRPr="00C21400">
        <w:t xml:space="preserve"> </w:t>
      </w:r>
      <w:r w:rsidR="00A14FEA" w:rsidRPr="00C21400">
        <w:t>- Obrazovanje koji se klasificiraju na 092</w:t>
      </w:r>
      <w:r w:rsidR="00A14FEA" w:rsidRPr="00F9664F">
        <w:t xml:space="preserve"> Srednjoškolsk</w:t>
      </w:r>
      <w:r w:rsidR="00EE2569" w:rsidRPr="00F9664F">
        <w:t>o obrazovanje i 0922</w:t>
      </w:r>
      <w:r w:rsidR="00A14FEA" w:rsidRPr="00F9664F">
        <w:t xml:space="preserve"> </w:t>
      </w:r>
      <w:r w:rsidR="00055AF5" w:rsidRPr="00F9664F">
        <w:t>Više srednjoškolsko obrazovanje</w:t>
      </w:r>
      <w:r w:rsidR="00BB1000">
        <w:t xml:space="preserve"> u iznosu od </w:t>
      </w:r>
      <w:r w:rsidR="00091D00">
        <w:t>945.240,59 eura</w:t>
      </w:r>
    </w:p>
    <w:p w:rsidR="00D439BA" w:rsidRPr="00F9664F" w:rsidRDefault="00055AF5" w:rsidP="00F8272C">
      <w:pPr>
        <w:pStyle w:val="Uvuenotijeloteksta"/>
        <w:ind w:left="0"/>
        <w:jc w:val="both"/>
      </w:pPr>
      <w:r w:rsidRPr="00F9664F">
        <w:t xml:space="preserve">a čine ih rashodi poslovanja </w:t>
      </w:r>
      <w:r w:rsidR="009C3EB8">
        <w:t>(razred</w:t>
      </w:r>
      <w:r w:rsidRPr="00F9664F">
        <w:t xml:space="preserve"> 3</w:t>
      </w:r>
      <w:r w:rsidR="009C3EB8">
        <w:t>)</w:t>
      </w:r>
      <w:r w:rsidR="00BB1000">
        <w:t xml:space="preserve"> u iznosu od </w:t>
      </w:r>
      <w:r w:rsidR="00091D00">
        <w:t>925.660,22 eura</w:t>
      </w:r>
      <w:r w:rsidRPr="00F9664F">
        <w:t xml:space="preserve"> i rashodi za nabavu nefinancijske imovine </w:t>
      </w:r>
      <w:r w:rsidR="009C3EB8">
        <w:t>(razred</w:t>
      </w:r>
      <w:r w:rsidRPr="00F9664F">
        <w:t xml:space="preserve"> 4</w:t>
      </w:r>
      <w:r w:rsidR="009C3EB8">
        <w:t>)</w:t>
      </w:r>
      <w:r w:rsidR="00BF03F1">
        <w:t xml:space="preserve"> u </w:t>
      </w:r>
      <w:r w:rsidR="00BB1000">
        <w:t xml:space="preserve">iznosu od </w:t>
      </w:r>
      <w:r w:rsidR="00091D00">
        <w:t>19.580,37 eura</w:t>
      </w:r>
      <w:r w:rsidR="00BB1000">
        <w:t xml:space="preserve"> </w:t>
      </w:r>
    </w:p>
    <w:p w:rsidR="00E26B6A" w:rsidRPr="00F9664F" w:rsidRDefault="00E26B6A" w:rsidP="00F8272C">
      <w:pPr>
        <w:pStyle w:val="Uvuenotijeloteksta"/>
        <w:ind w:left="0"/>
        <w:jc w:val="both"/>
      </w:pPr>
    </w:p>
    <w:p w:rsidR="001954C8" w:rsidRDefault="001954C8" w:rsidP="00F8272C">
      <w:pPr>
        <w:pStyle w:val="Uvuenotijeloteksta"/>
        <w:ind w:left="0"/>
        <w:jc w:val="both"/>
      </w:pPr>
    </w:p>
    <w:p w:rsidR="0032199A" w:rsidRDefault="0032199A" w:rsidP="00F8272C">
      <w:pPr>
        <w:pStyle w:val="Uvuenotijeloteksta"/>
        <w:ind w:left="0"/>
        <w:jc w:val="both"/>
      </w:pPr>
    </w:p>
    <w:p w:rsidR="0032199A" w:rsidRDefault="0032199A" w:rsidP="00F8272C">
      <w:pPr>
        <w:pStyle w:val="Uvuenotijeloteksta"/>
        <w:ind w:left="0"/>
        <w:jc w:val="both"/>
      </w:pPr>
    </w:p>
    <w:p w:rsidR="0032199A" w:rsidRDefault="0032199A" w:rsidP="00F8272C">
      <w:pPr>
        <w:pStyle w:val="Uvuenotijeloteksta"/>
        <w:ind w:left="0"/>
        <w:jc w:val="both"/>
      </w:pPr>
    </w:p>
    <w:p w:rsidR="00BB1000" w:rsidRDefault="00E95F80" w:rsidP="00277D4C">
      <w:pPr>
        <w:pStyle w:val="Uvuenotijeloteksta"/>
        <w:ind w:left="0"/>
      </w:pPr>
      <w:r>
        <w:t>Opatija, 26. siječnja 2024.</w:t>
      </w:r>
      <w:r w:rsidR="004919A1">
        <w:t xml:space="preserve"> godine</w:t>
      </w:r>
      <w:r w:rsidR="00277D4C" w:rsidRPr="00F9664F">
        <w:t xml:space="preserve">   </w:t>
      </w:r>
    </w:p>
    <w:p w:rsidR="002309A8" w:rsidRDefault="00277D4C" w:rsidP="00277D4C">
      <w:pPr>
        <w:pStyle w:val="Uvuenotijeloteksta"/>
        <w:ind w:left="0"/>
      </w:pPr>
      <w:r w:rsidRPr="00F9664F">
        <w:t xml:space="preserve">                                                                     </w:t>
      </w:r>
    </w:p>
    <w:p w:rsidR="002309A8" w:rsidRDefault="002309A8" w:rsidP="00277D4C">
      <w:pPr>
        <w:pStyle w:val="Uvuenotijeloteksta"/>
        <w:ind w:left="0"/>
      </w:pPr>
    </w:p>
    <w:p w:rsidR="00277D4C" w:rsidRDefault="00614D25" w:rsidP="00277D4C">
      <w:pPr>
        <w:pStyle w:val="Uvuenotijeloteksta"/>
        <w:ind w:left="0"/>
      </w:pPr>
      <w:r>
        <w:t>Bilješke sastavila</w:t>
      </w:r>
      <w:r w:rsidR="002309A8">
        <w:t>:</w:t>
      </w:r>
      <w:r w:rsidR="002309A8">
        <w:tab/>
      </w:r>
      <w:r w:rsidR="002309A8">
        <w:tab/>
      </w:r>
      <w:r w:rsidR="002309A8">
        <w:tab/>
      </w:r>
      <w:r w:rsidR="002309A8">
        <w:tab/>
      </w:r>
      <w:r w:rsidR="002309A8">
        <w:tab/>
      </w:r>
      <w:r w:rsidR="002309A8">
        <w:tab/>
      </w:r>
      <w:r>
        <w:tab/>
      </w:r>
      <w:r w:rsidR="00091D00">
        <w:t xml:space="preserve"> </w:t>
      </w:r>
      <w:r w:rsidR="00277D4C" w:rsidRPr="00F9664F">
        <w:t>Ravnateljica:</w:t>
      </w:r>
    </w:p>
    <w:p w:rsidR="002309A8" w:rsidRDefault="00BB1000" w:rsidP="00277D4C">
      <w:pPr>
        <w:pStyle w:val="Uvuenotijeloteksta"/>
        <w:ind w:left="0"/>
      </w:pPr>
      <w:r>
        <w:t xml:space="preserve">Slavica Barak, </w:t>
      </w:r>
      <w:proofErr w:type="spellStart"/>
      <w:r>
        <w:t>oec</w:t>
      </w:r>
      <w:proofErr w:type="spellEnd"/>
      <w:r>
        <w:t>.</w:t>
      </w:r>
      <w:r w:rsidR="00091D00">
        <w:t xml:space="preserve"> </w:t>
      </w:r>
      <w:proofErr w:type="spellStart"/>
      <w:r>
        <w:t>vod.računovodstva</w:t>
      </w:r>
      <w:proofErr w:type="spellEnd"/>
      <w:r>
        <w:t xml:space="preserve">                                             </w:t>
      </w:r>
      <w:proofErr w:type="spellStart"/>
      <w:r>
        <w:t>mr.sc.Ksenija</w:t>
      </w:r>
      <w:proofErr w:type="spellEnd"/>
      <w:r>
        <w:t xml:space="preserve"> Beljan</w:t>
      </w:r>
    </w:p>
    <w:p w:rsidR="00F52487" w:rsidRPr="00F9664F" w:rsidRDefault="00F52487" w:rsidP="00277D4C">
      <w:pPr>
        <w:pStyle w:val="Uvuenotijeloteksta"/>
        <w:ind w:left="0"/>
      </w:pPr>
    </w:p>
    <w:p w:rsidR="005909E6" w:rsidRPr="00F9664F" w:rsidRDefault="005909E6" w:rsidP="00277D4C">
      <w:pPr>
        <w:pStyle w:val="Uvuenotijeloteksta"/>
        <w:ind w:left="0"/>
      </w:pPr>
    </w:p>
    <w:sectPr w:rsidR="005909E6" w:rsidRPr="00F9664F" w:rsidSect="0016037B"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3DE" w:rsidRDefault="008C53DE" w:rsidP="00B449E0">
      <w:pPr>
        <w:spacing w:after="0" w:line="240" w:lineRule="auto"/>
      </w:pPr>
      <w:r>
        <w:separator/>
      </w:r>
    </w:p>
  </w:endnote>
  <w:endnote w:type="continuationSeparator" w:id="0">
    <w:p w:rsidR="008C53DE" w:rsidRDefault="008C53DE" w:rsidP="00B44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4144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744C0E" w:rsidRPr="00EE17CE" w:rsidRDefault="00744C0E">
        <w:pPr>
          <w:pStyle w:val="Podnoje"/>
          <w:jc w:val="right"/>
          <w:rPr>
            <w:rFonts w:ascii="Times New Roman" w:hAnsi="Times New Roman" w:cs="Times New Roman"/>
          </w:rPr>
        </w:pPr>
        <w:r w:rsidRPr="00EE17CE">
          <w:rPr>
            <w:rFonts w:ascii="Times New Roman" w:hAnsi="Times New Roman" w:cs="Times New Roman"/>
          </w:rPr>
          <w:fldChar w:fldCharType="begin"/>
        </w:r>
        <w:r w:rsidRPr="00EE17CE">
          <w:rPr>
            <w:rFonts w:ascii="Times New Roman" w:hAnsi="Times New Roman" w:cs="Times New Roman"/>
          </w:rPr>
          <w:instrText xml:space="preserve"> PAGE   \* MERGEFORMAT </w:instrText>
        </w:r>
        <w:r w:rsidRPr="00EE17CE">
          <w:rPr>
            <w:rFonts w:ascii="Times New Roman" w:hAnsi="Times New Roman" w:cs="Times New Roman"/>
          </w:rPr>
          <w:fldChar w:fldCharType="separate"/>
        </w:r>
        <w:r w:rsidR="005F3DA3">
          <w:rPr>
            <w:rFonts w:ascii="Times New Roman" w:hAnsi="Times New Roman" w:cs="Times New Roman"/>
            <w:noProof/>
          </w:rPr>
          <w:t>8</w:t>
        </w:r>
        <w:r w:rsidRPr="00EE17CE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744C0E" w:rsidRDefault="00744C0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3DE" w:rsidRDefault="008C53DE" w:rsidP="00B449E0">
      <w:pPr>
        <w:spacing w:after="0" w:line="240" w:lineRule="auto"/>
      </w:pPr>
      <w:r>
        <w:separator/>
      </w:r>
    </w:p>
  </w:footnote>
  <w:footnote w:type="continuationSeparator" w:id="0">
    <w:p w:rsidR="008C53DE" w:rsidRDefault="008C53DE" w:rsidP="00B44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06F85"/>
    <w:multiLevelType w:val="hybridMultilevel"/>
    <w:tmpl w:val="586CBD34"/>
    <w:lvl w:ilvl="0" w:tplc="EC0C39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425EA"/>
    <w:multiLevelType w:val="hybridMultilevel"/>
    <w:tmpl w:val="8F5C51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E502F"/>
    <w:multiLevelType w:val="hybridMultilevel"/>
    <w:tmpl w:val="E3C6C7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82198"/>
    <w:multiLevelType w:val="hybridMultilevel"/>
    <w:tmpl w:val="1BDC14D6"/>
    <w:lvl w:ilvl="0" w:tplc="ACACC7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F09C6"/>
    <w:multiLevelType w:val="hybridMultilevel"/>
    <w:tmpl w:val="2110C3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87D62"/>
    <w:multiLevelType w:val="hybridMultilevel"/>
    <w:tmpl w:val="645A6E64"/>
    <w:lvl w:ilvl="0" w:tplc="C570CC2C">
      <w:numFmt w:val="bullet"/>
      <w:lvlText w:val="•"/>
      <w:lvlJc w:val="left"/>
      <w:pPr>
        <w:ind w:left="461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C72487F"/>
    <w:multiLevelType w:val="hybridMultilevel"/>
    <w:tmpl w:val="056AF302"/>
    <w:lvl w:ilvl="0" w:tplc="B582C3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80CBB"/>
    <w:multiLevelType w:val="hybridMultilevel"/>
    <w:tmpl w:val="1B20E142"/>
    <w:lvl w:ilvl="0" w:tplc="29EA81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B245D"/>
    <w:multiLevelType w:val="hybridMultilevel"/>
    <w:tmpl w:val="35B499E8"/>
    <w:lvl w:ilvl="0" w:tplc="86C6EDE0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C3EF6"/>
    <w:multiLevelType w:val="hybridMultilevel"/>
    <w:tmpl w:val="2D8252A0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39D90C4F"/>
    <w:multiLevelType w:val="hybridMultilevel"/>
    <w:tmpl w:val="BBE82B74"/>
    <w:lvl w:ilvl="0" w:tplc="B582C3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A66F84"/>
    <w:multiLevelType w:val="hybridMultilevel"/>
    <w:tmpl w:val="32D09F88"/>
    <w:lvl w:ilvl="0" w:tplc="C570CC2C">
      <w:numFmt w:val="bullet"/>
      <w:lvlText w:val="•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460D1603"/>
    <w:multiLevelType w:val="hybridMultilevel"/>
    <w:tmpl w:val="5A7A5E2E"/>
    <w:lvl w:ilvl="0" w:tplc="6BCCF340">
      <w:numFmt w:val="bullet"/>
      <w:lvlText w:val="•"/>
      <w:lvlJc w:val="left"/>
      <w:pPr>
        <w:ind w:left="1146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AD470A6"/>
    <w:multiLevelType w:val="hybridMultilevel"/>
    <w:tmpl w:val="FA66D170"/>
    <w:lvl w:ilvl="0" w:tplc="5CAA65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DD5765"/>
    <w:multiLevelType w:val="hybridMultilevel"/>
    <w:tmpl w:val="1DB4EB2E"/>
    <w:lvl w:ilvl="0" w:tplc="B582C3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EB7A75"/>
    <w:multiLevelType w:val="hybridMultilevel"/>
    <w:tmpl w:val="66CAF2A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69477CC"/>
    <w:multiLevelType w:val="hybridMultilevel"/>
    <w:tmpl w:val="246A67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D1747B"/>
    <w:multiLevelType w:val="hybridMultilevel"/>
    <w:tmpl w:val="73EED6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1F6379"/>
    <w:multiLevelType w:val="hybridMultilevel"/>
    <w:tmpl w:val="246A67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8D0196"/>
    <w:multiLevelType w:val="hybridMultilevel"/>
    <w:tmpl w:val="0AAA58B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"/>
  </w:num>
  <w:num w:numId="4">
    <w:abstractNumId w:val="16"/>
  </w:num>
  <w:num w:numId="5">
    <w:abstractNumId w:val="18"/>
  </w:num>
  <w:num w:numId="6">
    <w:abstractNumId w:val="1"/>
  </w:num>
  <w:num w:numId="7">
    <w:abstractNumId w:val="15"/>
  </w:num>
  <w:num w:numId="8">
    <w:abstractNumId w:val="6"/>
  </w:num>
  <w:num w:numId="9">
    <w:abstractNumId w:val="0"/>
  </w:num>
  <w:num w:numId="10">
    <w:abstractNumId w:val="10"/>
  </w:num>
  <w:num w:numId="11">
    <w:abstractNumId w:val="14"/>
  </w:num>
  <w:num w:numId="12">
    <w:abstractNumId w:val="12"/>
  </w:num>
  <w:num w:numId="13">
    <w:abstractNumId w:val="11"/>
  </w:num>
  <w:num w:numId="14">
    <w:abstractNumId w:val="13"/>
  </w:num>
  <w:num w:numId="15">
    <w:abstractNumId w:val="5"/>
  </w:num>
  <w:num w:numId="16">
    <w:abstractNumId w:val="3"/>
  </w:num>
  <w:num w:numId="17">
    <w:abstractNumId w:val="9"/>
  </w:num>
  <w:num w:numId="18">
    <w:abstractNumId w:val="19"/>
  </w:num>
  <w:num w:numId="19">
    <w:abstractNumId w:val="7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E0"/>
    <w:rsid w:val="0000260F"/>
    <w:rsid w:val="00003C42"/>
    <w:rsid w:val="00003D4F"/>
    <w:rsid w:val="000044A6"/>
    <w:rsid w:val="000047C9"/>
    <w:rsid w:val="00005ECF"/>
    <w:rsid w:val="00010D55"/>
    <w:rsid w:val="0001244E"/>
    <w:rsid w:val="0001344E"/>
    <w:rsid w:val="0001392D"/>
    <w:rsid w:val="00016530"/>
    <w:rsid w:val="0002042C"/>
    <w:rsid w:val="00025A72"/>
    <w:rsid w:val="000269E8"/>
    <w:rsid w:val="00026BB0"/>
    <w:rsid w:val="00031327"/>
    <w:rsid w:val="000316A9"/>
    <w:rsid w:val="00031944"/>
    <w:rsid w:val="0003736E"/>
    <w:rsid w:val="00044811"/>
    <w:rsid w:val="0004536B"/>
    <w:rsid w:val="00050A3B"/>
    <w:rsid w:val="000553E8"/>
    <w:rsid w:val="00055AF5"/>
    <w:rsid w:val="000562FE"/>
    <w:rsid w:val="00060163"/>
    <w:rsid w:val="000652B5"/>
    <w:rsid w:val="0006553B"/>
    <w:rsid w:val="00065577"/>
    <w:rsid w:val="000722AF"/>
    <w:rsid w:val="00072412"/>
    <w:rsid w:val="00074F9A"/>
    <w:rsid w:val="0007593F"/>
    <w:rsid w:val="00075EB4"/>
    <w:rsid w:val="00084B04"/>
    <w:rsid w:val="00091D00"/>
    <w:rsid w:val="000A19AE"/>
    <w:rsid w:val="000A4236"/>
    <w:rsid w:val="000A73FF"/>
    <w:rsid w:val="000B185D"/>
    <w:rsid w:val="000B6BB5"/>
    <w:rsid w:val="000B7DBB"/>
    <w:rsid w:val="000C4A06"/>
    <w:rsid w:val="000C4E85"/>
    <w:rsid w:val="000C5622"/>
    <w:rsid w:val="000D06A4"/>
    <w:rsid w:val="000D1D57"/>
    <w:rsid w:val="000D2832"/>
    <w:rsid w:val="000D2F6E"/>
    <w:rsid w:val="000D48A0"/>
    <w:rsid w:val="000D6BC6"/>
    <w:rsid w:val="000D7D91"/>
    <w:rsid w:val="000E3742"/>
    <w:rsid w:val="000E66B3"/>
    <w:rsid w:val="000E7247"/>
    <w:rsid w:val="000E7CDE"/>
    <w:rsid w:val="000F10B4"/>
    <w:rsid w:val="000F1E00"/>
    <w:rsid w:val="000F3432"/>
    <w:rsid w:val="000F76CD"/>
    <w:rsid w:val="000F78C8"/>
    <w:rsid w:val="0010047D"/>
    <w:rsid w:val="00102E74"/>
    <w:rsid w:val="00103C11"/>
    <w:rsid w:val="001065B8"/>
    <w:rsid w:val="0010789F"/>
    <w:rsid w:val="00113171"/>
    <w:rsid w:val="00114A12"/>
    <w:rsid w:val="00115F01"/>
    <w:rsid w:val="00117B54"/>
    <w:rsid w:val="00121737"/>
    <w:rsid w:val="00121E1E"/>
    <w:rsid w:val="001227FF"/>
    <w:rsid w:val="00130093"/>
    <w:rsid w:val="00130D12"/>
    <w:rsid w:val="00131CB1"/>
    <w:rsid w:val="00135465"/>
    <w:rsid w:val="00136D5B"/>
    <w:rsid w:val="00137F34"/>
    <w:rsid w:val="001401D2"/>
    <w:rsid w:val="00141750"/>
    <w:rsid w:val="00144AD4"/>
    <w:rsid w:val="0014670B"/>
    <w:rsid w:val="0014735D"/>
    <w:rsid w:val="00147D91"/>
    <w:rsid w:val="001520EC"/>
    <w:rsid w:val="001523C8"/>
    <w:rsid w:val="0015261C"/>
    <w:rsid w:val="00153B1F"/>
    <w:rsid w:val="001540D3"/>
    <w:rsid w:val="00154F16"/>
    <w:rsid w:val="0016037B"/>
    <w:rsid w:val="00160B09"/>
    <w:rsid w:val="00161F41"/>
    <w:rsid w:val="0016426D"/>
    <w:rsid w:val="00176C1A"/>
    <w:rsid w:val="0017743F"/>
    <w:rsid w:val="001801A1"/>
    <w:rsid w:val="001803BF"/>
    <w:rsid w:val="001804B8"/>
    <w:rsid w:val="00181432"/>
    <w:rsid w:val="00182FA5"/>
    <w:rsid w:val="001919CB"/>
    <w:rsid w:val="00192471"/>
    <w:rsid w:val="00192583"/>
    <w:rsid w:val="001954C8"/>
    <w:rsid w:val="0019565B"/>
    <w:rsid w:val="00196C1B"/>
    <w:rsid w:val="001A0AAF"/>
    <w:rsid w:val="001A2173"/>
    <w:rsid w:val="001A24EB"/>
    <w:rsid w:val="001A2E5E"/>
    <w:rsid w:val="001A7E6A"/>
    <w:rsid w:val="001B083C"/>
    <w:rsid w:val="001B61A2"/>
    <w:rsid w:val="001C0F32"/>
    <w:rsid w:val="001C2666"/>
    <w:rsid w:val="001C4A41"/>
    <w:rsid w:val="001D0F9D"/>
    <w:rsid w:val="001D1CD6"/>
    <w:rsid w:val="001E067D"/>
    <w:rsid w:val="001E149A"/>
    <w:rsid w:val="001E209D"/>
    <w:rsid w:val="001F159D"/>
    <w:rsid w:val="001F2B7C"/>
    <w:rsid w:val="001F4035"/>
    <w:rsid w:val="001F54DE"/>
    <w:rsid w:val="001F5F4B"/>
    <w:rsid w:val="001F6E2C"/>
    <w:rsid w:val="001F7F46"/>
    <w:rsid w:val="0020568B"/>
    <w:rsid w:val="00217D68"/>
    <w:rsid w:val="00224C92"/>
    <w:rsid w:val="002309A8"/>
    <w:rsid w:val="002323E5"/>
    <w:rsid w:val="002345F9"/>
    <w:rsid w:val="00240403"/>
    <w:rsid w:val="00241008"/>
    <w:rsid w:val="00243A81"/>
    <w:rsid w:val="00245174"/>
    <w:rsid w:val="00246C62"/>
    <w:rsid w:val="00252262"/>
    <w:rsid w:val="00253857"/>
    <w:rsid w:val="00255E8D"/>
    <w:rsid w:val="0025604D"/>
    <w:rsid w:val="00261E5C"/>
    <w:rsid w:val="00264216"/>
    <w:rsid w:val="00266AE0"/>
    <w:rsid w:val="0027206C"/>
    <w:rsid w:val="00277D4C"/>
    <w:rsid w:val="00280131"/>
    <w:rsid w:val="002827FA"/>
    <w:rsid w:val="00282AF9"/>
    <w:rsid w:val="00283720"/>
    <w:rsid w:val="00284637"/>
    <w:rsid w:val="00285780"/>
    <w:rsid w:val="0029309A"/>
    <w:rsid w:val="002938E3"/>
    <w:rsid w:val="00295E12"/>
    <w:rsid w:val="0029645A"/>
    <w:rsid w:val="002A1865"/>
    <w:rsid w:val="002A41FF"/>
    <w:rsid w:val="002A7946"/>
    <w:rsid w:val="002A7993"/>
    <w:rsid w:val="002B0EBA"/>
    <w:rsid w:val="002B4B40"/>
    <w:rsid w:val="002B5148"/>
    <w:rsid w:val="002C0841"/>
    <w:rsid w:val="002C0C32"/>
    <w:rsid w:val="002C4987"/>
    <w:rsid w:val="002D3B8D"/>
    <w:rsid w:val="002D4DB7"/>
    <w:rsid w:val="002D6B01"/>
    <w:rsid w:val="002E2634"/>
    <w:rsid w:val="002E6784"/>
    <w:rsid w:val="002F15DA"/>
    <w:rsid w:val="002F1DE3"/>
    <w:rsid w:val="002F353F"/>
    <w:rsid w:val="002F3F6A"/>
    <w:rsid w:val="002F69B9"/>
    <w:rsid w:val="002F6B70"/>
    <w:rsid w:val="00307051"/>
    <w:rsid w:val="00311A0A"/>
    <w:rsid w:val="0031290B"/>
    <w:rsid w:val="003136C7"/>
    <w:rsid w:val="00313705"/>
    <w:rsid w:val="00314301"/>
    <w:rsid w:val="00315A9C"/>
    <w:rsid w:val="003162A8"/>
    <w:rsid w:val="00317DEF"/>
    <w:rsid w:val="0032044B"/>
    <w:rsid w:val="0032199A"/>
    <w:rsid w:val="00321D30"/>
    <w:rsid w:val="00322D2B"/>
    <w:rsid w:val="00322DCE"/>
    <w:rsid w:val="00325965"/>
    <w:rsid w:val="00327605"/>
    <w:rsid w:val="00332C5A"/>
    <w:rsid w:val="003368E6"/>
    <w:rsid w:val="00336E86"/>
    <w:rsid w:val="00343CB9"/>
    <w:rsid w:val="003538F5"/>
    <w:rsid w:val="00360DEB"/>
    <w:rsid w:val="00364931"/>
    <w:rsid w:val="00365FA3"/>
    <w:rsid w:val="00366175"/>
    <w:rsid w:val="00371C13"/>
    <w:rsid w:val="003722C0"/>
    <w:rsid w:val="00373BEC"/>
    <w:rsid w:val="00374C91"/>
    <w:rsid w:val="003770C7"/>
    <w:rsid w:val="00382DB1"/>
    <w:rsid w:val="00391B9C"/>
    <w:rsid w:val="003957D9"/>
    <w:rsid w:val="00395F8B"/>
    <w:rsid w:val="0039648A"/>
    <w:rsid w:val="00397CE0"/>
    <w:rsid w:val="003A05DB"/>
    <w:rsid w:val="003A0A08"/>
    <w:rsid w:val="003A2083"/>
    <w:rsid w:val="003A3C9A"/>
    <w:rsid w:val="003A406B"/>
    <w:rsid w:val="003A7050"/>
    <w:rsid w:val="003B3BAF"/>
    <w:rsid w:val="003C0F46"/>
    <w:rsid w:val="003C389E"/>
    <w:rsid w:val="003C3B1C"/>
    <w:rsid w:val="003C40A6"/>
    <w:rsid w:val="003D39A3"/>
    <w:rsid w:val="003E5916"/>
    <w:rsid w:val="003E5B76"/>
    <w:rsid w:val="003E5EEC"/>
    <w:rsid w:val="003E5FF6"/>
    <w:rsid w:val="003E65B2"/>
    <w:rsid w:val="003E6CFF"/>
    <w:rsid w:val="003E7674"/>
    <w:rsid w:val="003F000E"/>
    <w:rsid w:val="003F22EE"/>
    <w:rsid w:val="003F43E2"/>
    <w:rsid w:val="0040383E"/>
    <w:rsid w:val="00403C9A"/>
    <w:rsid w:val="00404A20"/>
    <w:rsid w:val="0040676F"/>
    <w:rsid w:val="00406835"/>
    <w:rsid w:val="00406F4F"/>
    <w:rsid w:val="00407F8B"/>
    <w:rsid w:val="00410AFE"/>
    <w:rsid w:val="004120AB"/>
    <w:rsid w:val="00413AAD"/>
    <w:rsid w:val="004146DD"/>
    <w:rsid w:val="00426A38"/>
    <w:rsid w:val="004276CD"/>
    <w:rsid w:val="00430D25"/>
    <w:rsid w:val="00433ABA"/>
    <w:rsid w:val="00444FD5"/>
    <w:rsid w:val="00445441"/>
    <w:rsid w:val="004464E1"/>
    <w:rsid w:val="004525B8"/>
    <w:rsid w:val="00452B8B"/>
    <w:rsid w:val="00457694"/>
    <w:rsid w:val="00461C97"/>
    <w:rsid w:val="00463EE3"/>
    <w:rsid w:val="0047181E"/>
    <w:rsid w:val="00472890"/>
    <w:rsid w:val="00476AA4"/>
    <w:rsid w:val="00477DF4"/>
    <w:rsid w:val="00480B11"/>
    <w:rsid w:val="00482706"/>
    <w:rsid w:val="0049060B"/>
    <w:rsid w:val="00490A3D"/>
    <w:rsid w:val="004919A1"/>
    <w:rsid w:val="00492E61"/>
    <w:rsid w:val="004952A3"/>
    <w:rsid w:val="004959E9"/>
    <w:rsid w:val="004976C0"/>
    <w:rsid w:val="004A0764"/>
    <w:rsid w:val="004A304C"/>
    <w:rsid w:val="004B25A7"/>
    <w:rsid w:val="004B5767"/>
    <w:rsid w:val="004C2B83"/>
    <w:rsid w:val="004C386D"/>
    <w:rsid w:val="004C641D"/>
    <w:rsid w:val="004C7AB7"/>
    <w:rsid w:val="004D1910"/>
    <w:rsid w:val="004D58AB"/>
    <w:rsid w:val="004E18AE"/>
    <w:rsid w:val="004E1DBB"/>
    <w:rsid w:val="004E29C9"/>
    <w:rsid w:val="004E3E03"/>
    <w:rsid w:val="004E5EEF"/>
    <w:rsid w:val="004E6532"/>
    <w:rsid w:val="004E6DDF"/>
    <w:rsid w:val="004F0D53"/>
    <w:rsid w:val="004F3443"/>
    <w:rsid w:val="004F61D8"/>
    <w:rsid w:val="0050700E"/>
    <w:rsid w:val="00515797"/>
    <w:rsid w:val="005157BC"/>
    <w:rsid w:val="00517383"/>
    <w:rsid w:val="00522720"/>
    <w:rsid w:val="00533195"/>
    <w:rsid w:val="00537950"/>
    <w:rsid w:val="00540D46"/>
    <w:rsid w:val="0054126A"/>
    <w:rsid w:val="00550635"/>
    <w:rsid w:val="00550C96"/>
    <w:rsid w:val="005561C6"/>
    <w:rsid w:val="00557057"/>
    <w:rsid w:val="00570EF7"/>
    <w:rsid w:val="00574221"/>
    <w:rsid w:val="0057768B"/>
    <w:rsid w:val="00577C21"/>
    <w:rsid w:val="0058187A"/>
    <w:rsid w:val="005825BF"/>
    <w:rsid w:val="005909E6"/>
    <w:rsid w:val="00590CC5"/>
    <w:rsid w:val="005911CC"/>
    <w:rsid w:val="00591B1F"/>
    <w:rsid w:val="00591F57"/>
    <w:rsid w:val="00593976"/>
    <w:rsid w:val="00594DE1"/>
    <w:rsid w:val="005A4D53"/>
    <w:rsid w:val="005A508A"/>
    <w:rsid w:val="005A6B79"/>
    <w:rsid w:val="005B140E"/>
    <w:rsid w:val="005B730A"/>
    <w:rsid w:val="005B7D59"/>
    <w:rsid w:val="005C3F6C"/>
    <w:rsid w:val="005D12DC"/>
    <w:rsid w:val="005D2FBD"/>
    <w:rsid w:val="005F3DA3"/>
    <w:rsid w:val="005F614D"/>
    <w:rsid w:val="005F6F53"/>
    <w:rsid w:val="00600BF6"/>
    <w:rsid w:val="0060155C"/>
    <w:rsid w:val="00603034"/>
    <w:rsid w:val="006120DC"/>
    <w:rsid w:val="00612CA4"/>
    <w:rsid w:val="00614D25"/>
    <w:rsid w:val="00615B8F"/>
    <w:rsid w:val="006172F1"/>
    <w:rsid w:val="00617FD5"/>
    <w:rsid w:val="0062536B"/>
    <w:rsid w:val="0062590A"/>
    <w:rsid w:val="00633AFF"/>
    <w:rsid w:val="00645084"/>
    <w:rsid w:val="00645C11"/>
    <w:rsid w:val="006471A8"/>
    <w:rsid w:val="006517E6"/>
    <w:rsid w:val="00653AD3"/>
    <w:rsid w:val="00653CA0"/>
    <w:rsid w:val="00666319"/>
    <w:rsid w:val="00666D90"/>
    <w:rsid w:val="006701DC"/>
    <w:rsid w:val="00675532"/>
    <w:rsid w:val="006806EA"/>
    <w:rsid w:val="00683438"/>
    <w:rsid w:val="00686D8E"/>
    <w:rsid w:val="006907E5"/>
    <w:rsid w:val="0069315E"/>
    <w:rsid w:val="00695CB0"/>
    <w:rsid w:val="00697DD3"/>
    <w:rsid w:val="006A165E"/>
    <w:rsid w:val="006B6C54"/>
    <w:rsid w:val="006C29F0"/>
    <w:rsid w:val="006C67AA"/>
    <w:rsid w:val="006D3C9E"/>
    <w:rsid w:val="006D50EC"/>
    <w:rsid w:val="006D5748"/>
    <w:rsid w:val="006D7932"/>
    <w:rsid w:val="006E3D60"/>
    <w:rsid w:val="006E713E"/>
    <w:rsid w:val="006F0348"/>
    <w:rsid w:val="006F1287"/>
    <w:rsid w:val="006F5968"/>
    <w:rsid w:val="006F5F60"/>
    <w:rsid w:val="00706EEC"/>
    <w:rsid w:val="007108FA"/>
    <w:rsid w:val="00710A20"/>
    <w:rsid w:val="00713015"/>
    <w:rsid w:val="0071641A"/>
    <w:rsid w:val="00717C1B"/>
    <w:rsid w:val="007217BD"/>
    <w:rsid w:val="00723AFD"/>
    <w:rsid w:val="0072659E"/>
    <w:rsid w:val="007266DB"/>
    <w:rsid w:val="00731230"/>
    <w:rsid w:val="00732874"/>
    <w:rsid w:val="00737973"/>
    <w:rsid w:val="007436FD"/>
    <w:rsid w:val="00743853"/>
    <w:rsid w:val="00744493"/>
    <w:rsid w:val="00744B5E"/>
    <w:rsid w:val="00744C0E"/>
    <w:rsid w:val="00745C05"/>
    <w:rsid w:val="00773DE0"/>
    <w:rsid w:val="007761B7"/>
    <w:rsid w:val="00782564"/>
    <w:rsid w:val="00782E0F"/>
    <w:rsid w:val="007855ED"/>
    <w:rsid w:val="007876CF"/>
    <w:rsid w:val="007907A9"/>
    <w:rsid w:val="00790B7A"/>
    <w:rsid w:val="00791C6C"/>
    <w:rsid w:val="0079494A"/>
    <w:rsid w:val="007970A2"/>
    <w:rsid w:val="007A169C"/>
    <w:rsid w:val="007A3AE5"/>
    <w:rsid w:val="007A4306"/>
    <w:rsid w:val="007A4A70"/>
    <w:rsid w:val="007A61EC"/>
    <w:rsid w:val="007B3CD0"/>
    <w:rsid w:val="007B4B54"/>
    <w:rsid w:val="007C2806"/>
    <w:rsid w:val="007C4567"/>
    <w:rsid w:val="007C6DE3"/>
    <w:rsid w:val="007C7478"/>
    <w:rsid w:val="007D035F"/>
    <w:rsid w:val="007D2DE3"/>
    <w:rsid w:val="007D364D"/>
    <w:rsid w:val="007D456E"/>
    <w:rsid w:val="007D4DD0"/>
    <w:rsid w:val="007E1999"/>
    <w:rsid w:val="007E5515"/>
    <w:rsid w:val="007E6BCE"/>
    <w:rsid w:val="007F01AB"/>
    <w:rsid w:val="00801C55"/>
    <w:rsid w:val="00801FB0"/>
    <w:rsid w:val="00802126"/>
    <w:rsid w:val="00805DEA"/>
    <w:rsid w:val="00813D93"/>
    <w:rsid w:val="008157AB"/>
    <w:rsid w:val="00817277"/>
    <w:rsid w:val="00820206"/>
    <w:rsid w:val="0082120C"/>
    <w:rsid w:val="00821BEB"/>
    <w:rsid w:val="008234A2"/>
    <w:rsid w:val="008309AF"/>
    <w:rsid w:val="00834F0D"/>
    <w:rsid w:val="008360B4"/>
    <w:rsid w:val="00837542"/>
    <w:rsid w:val="00840013"/>
    <w:rsid w:val="008440CC"/>
    <w:rsid w:val="00851B41"/>
    <w:rsid w:val="00854A8F"/>
    <w:rsid w:val="00854F47"/>
    <w:rsid w:val="0086069F"/>
    <w:rsid w:val="00862046"/>
    <w:rsid w:val="00862C89"/>
    <w:rsid w:val="00863605"/>
    <w:rsid w:val="008650C7"/>
    <w:rsid w:val="008650CC"/>
    <w:rsid w:val="00876EA1"/>
    <w:rsid w:val="00887D38"/>
    <w:rsid w:val="008A1EF0"/>
    <w:rsid w:val="008A53B6"/>
    <w:rsid w:val="008A72A7"/>
    <w:rsid w:val="008C0F18"/>
    <w:rsid w:val="008C10B5"/>
    <w:rsid w:val="008C2221"/>
    <w:rsid w:val="008C3551"/>
    <w:rsid w:val="008C53DE"/>
    <w:rsid w:val="008D09B6"/>
    <w:rsid w:val="008D44E3"/>
    <w:rsid w:val="008D67E3"/>
    <w:rsid w:val="008E6EF4"/>
    <w:rsid w:val="008F076F"/>
    <w:rsid w:val="008F1E6C"/>
    <w:rsid w:val="008F3BB9"/>
    <w:rsid w:val="008F5E94"/>
    <w:rsid w:val="00910F71"/>
    <w:rsid w:val="009136B8"/>
    <w:rsid w:val="00913BB8"/>
    <w:rsid w:val="00914794"/>
    <w:rsid w:val="00915A5E"/>
    <w:rsid w:val="0092127D"/>
    <w:rsid w:val="009220B0"/>
    <w:rsid w:val="00930866"/>
    <w:rsid w:val="0093755F"/>
    <w:rsid w:val="009432ED"/>
    <w:rsid w:val="009448BA"/>
    <w:rsid w:val="00946458"/>
    <w:rsid w:val="00947BA7"/>
    <w:rsid w:val="0095601C"/>
    <w:rsid w:val="009561B9"/>
    <w:rsid w:val="00956B0F"/>
    <w:rsid w:val="009611CF"/>
    <w:rsid w:val="00961D19"/>
    <w:rsid w:val="009637C4"/>
    <w:rsid w:val="00964B9C"/>
    <w:rsid w:val="009703A0"/>
    <w:rsid w:val="00971273"/>
    <w:rsid w:val="009720E1"/>
    <w:rsid w:val="00972650"/>
    <w:rsid w:val="0097767B"/>
    <w:rsid w:val="0098318D"/>
    <w:rsid w:val="00987C05"/>
    <w:rsid w:val="009937EE"/>
    <w:rsid w:val="00993980"/>
    <w:rsid w:val="00994098"/>
    <w:rsid w:val="00996E30"/>
    <w:rsid w:val="009A10A0"/>
    <w:rsid w:val="009A18CB"/>
    <w:rsid w:val="009A3A35"/>
    <w:rsid w:val="009A4B7E"/>
    <w:rsid w:val="009A4D7B"/>
    <w:rsid w:val="009A56DF"/>
    <w:rsid w:val="009A6D7B"/>
    <w:rsid w:val="009B0295"/>
    <w:rsid w:val="009B09B4"/>
    <w:rsid w:val="009B163B"/>
    <w:rsid w:val="009B559F"/>
    <w:rsid w:val="009B56FC"/>
    <w:rsid w:val="009B59F8"/>
    <w:rsid w:val="009B7C61"/>
    <w:rsid w:val="009B7EF5"/>
    <w:rsid w:val="009C32E8"/>
    <w:rsid w:val="009C3EB8"/>
    <w:rsid w:val="009D32AA"/>
    <w:rsid w:val="009D41FE"/>
    <w:rsid w:val="009D6C6B"/>
    <w:rsid w:val="009D749A"/>
    <w:rsid w:val="009E3CA2"/>
    <w:rsid w:val="009E43FB"/>
    <w:rsid w:val="009E6283"/>
    <w:rsid w:val="009E630F"/>
    <w:rsid w:val="009F0539"/>
    <w:rsid w:val="009F091E"/>
    <w:rsid w:val="009F0C07"/>
    <w:rsid w:val="009F2A39"/>
    <w:rsid w:val="009F5F73"/>
    <w:rsid w:val="009F7564"/>
    <w:rsid w:val="00A07470"/>
    <w:rsid w:val="00A10293"/>
    <w:rsid w:val="00A11CE1"/>
    <w:rsid w:val="00A12A1F"/>
    <w:rsid w:val="00A139E9"/>
    <w:rsid w:val="00A14FEA"/>
    <w:rsid w:val="00A208BB"/>
    <w:rsid w:val="00A229A6"/>
    <w:rsid w:val="00A24A1B"/>
    <w:rsid w:val="00A26C7A"/>
    <w:rsid w:val="00A300D2"/>
    <w:rsid w:val="00A3040D"/>
    <w:rsid w:val="00A3173F"/>
    <w:rsid w:val="00A31BAA"/>
    <w:rsid w:val="00A328D2"/>
    <w:rsid w:val="00A33DC0"/>
    <w:rsid w:val="00A364DC"/>
    <w:rsid w:val="00A36B01"/>
    <w:rsid w:val="00A4112F"/>
    <w:rsid w:val="00A42260"/>
    <w:rsid w:val="00A43E73"/>
    <w:rsid w:val="00A44E48"/>
    <w:rsid w:val="00A57DE8"/>
    <w:rsid w:val="00A64C8A"/>
    <w:rsid w:val="00A6509E"/>
    <w:rsid w:val="00A669C0"/>
    <w:rsid w:val="00A72B10"/>
    <w:rsid w:val="00A756F6"/>
    <w:rsid w:val="00A777ED"/>
    <w:rsid w:val="00A83F81"/>
    <w:rsid w:val="00A924AF"/>
    <w:rsid w:val="00A95347"/>
    <w:rsid w:val="00A962E2"/>
    <w:rsid w:val="00A97AB1"/>
    <w:rsid w:val="00AA3E2D"/>
    <w:rsid w:val="00AA60F2"/>
    <w:rsid w:val="00AA7C04"/>
    <w:rsid w:val="00AB199F"/>
    <w:rsid w:val="00AB200C"/>
    <w:rsid w:val="00AB58F9"/>
    <w:rsid w:val="00AB6146"/>
    <w:rsid w:val="00AB7713"/>
    <w:rsid w:val="00AC06E2"/>
    <w:rsid w:val="00AC1B6D"/>
    <w:rsid w:val="00AC66D6"/>
    <w:rsid w:val="00AD3340"/>
    <w:rsid w:val="00AD45CE"/>
    <w:rsid w:val="00AD54C6"/>
    <w:rsid w:val="00AD6DC1"/>
    <w:rsid w:val="00AD7167"/>
    <w:rsid w:val="00AD797B"/>
    <w:rsid w:val="00AE1A23"/>
    <w:rsid w:val="00AE2B7C"/>
    <w:rsid w:val="00AE40AA"/>
    <w:rsid w:val="00AF0D7F"/>
    <w:rsid w:val="00AF38B7"/>
    <w:rsid w:val="00AF5FFC"/>
    <w:rsid w:val="00B010C7"/>
    <w:rsid w:val="00B01FCD"/>
    <w:rsid w:val="00B1105A"/>
    <w:rsid w:val="00B144C1"/>
    <w:rsid w:val="00B1644D"/>
    <w:rsid w:val="00B17728"/>
    <w:rsid w:val="00B17F61"/>
    <w:rsid w:val="00B27648"/>
    <w:rsid w:val="00B27F3F"/>
    <w:rsid w:val="00B36C50"/>
    <w:rsid w:val="00B407AA"/>
    <w:rsid w:val="00B40E77"/>
    <w:rsid w:val="00B449E0"/>
    <w:rsid w:val="00B45564"/>
    <w:rsid w:val="00B4722B"/>
    <w:rsid w:val="00B51727"/>
    <w:rsid w:val="00B572D5"/>
    <w:rsid w:val="00B6356F"/>
    <w:rsid w:val="00B63DE4"/>
    <w:rsid w:val="00B64080"/>
    <w:rsid w:val="00B6443A"/>
    <w:rsid w:val="00B6453F"/>
    <w:rsid w:val="00B658D7"/>
    <w:rsid w:val="00B65E10"/>
    <w:rsid w:val="00B66E8D"/>
    <w:rsid w:val="00B70CD6"/>
    <w:rsid w:val="00B738CA"/>
    <w:rsid w:val="00B77166"/>
    <w:rsid w:val="00B900D3"/>
    <w:rsid w:val="00BA31C8"/>
    <w:rsid w:val="00BA3BDE"/>
    <w:rsid w:val="00BA77AB"/>
    <w:rsid w:val="00BB07AD"/>
    <w:rsid w:val="00BB1000"/>
    <w:rsid w:val="00BB2659"/>
    <w:rsid w:val="00BB42BF"/>
    <w:rsid w:val="00BB6163"/>
    <w:rsid w:val="00BB67A2"/>
    <w:rsid w:val="00BB75A0"/>
    <w:rsid w:val="00BC217E"/>
    <w:rsid w:val="00BC3E63"/>
    <w:rsid w:val="00BD0577"/>
    <w:rsid w:val="00BD4A56"/>
    <w:rsid w:val="00BD6280"/>
    <w:rsid w:val="00BE0379"/>
    <w:rsid w:val="00BE36AB"/>
    <w:rsid w:val="00BE5A82"/>
    <w:rsid w:val="00BE71BF"/>
    <w:rsid w:val="00BF03F1"/>
    <w:rsid w:val="00BF35C6"/>
    <w:rsid w:val="00BF3E85"/>
    <w:rsid w:val="00BF4930"/>
    <w:rsid w:val="00BF584D"/>
    <w:rsid w:val="00BF6843"/>
    <w:rsid w:val="00C026D4"/>
    <w:rsid w:val="00C04E37"/>
    <w:rsid w:val="00C04F3C"/>
    <w:rsid w:val="00C0526C"/>
    <w:rsid w:val="00C07C4A"/>
    <w:rsid w:val="00C07D6F"/>
    <w:rsid w:val="00C1054D"/>
    <w:rsid w:val="00C11537"/>
    <w:rsid w:val="00C13951"/>
    <w:rsid w:val="00C140AA"/>
    <w:rsid w:val="00C14763"/>
    <w:rsid w:val="00C14CCC"/>
    <w:rsid w:val="00C16725"/>
    <w:rsid w:val="00C21400"/>
    <w:rsid w:val="00C22C5D"/>
    <w:rsid w:val="00C23978"/>
    <w:rsid w:val="00C31055"/>
    <w:rsid w:val="00C32E96"/>
    <w:rsid w:val="00C3503B"/>
    <w:rsid w:val="00C35568"/>
    <w:rsid w:val="00C36B5F"/>
    <w:rsid w:val="00C46F19"/>
    <w:rsid w:val="00C50552"/>
    <w:rsid w:val="00C50613"/>
    <w:rsid w:val="00C52FD2"/>
    <w:rsid w:val="00C636F3"/>
    <w:rsid w:val="00C662F0"/>
    <w:rsid w:val="00C665C1"/>
    <w:rsid w:val="00C7064B"/>
    <w:rsid w:val="00C71871"/>
    <w:rsid w:val="00C82672"/>
    <w:rsid w:val="00C83DE0"/>
    <w:rsid w:val="00C91E1D"/>
    <w:rsid w:val="00C93CBB"/>
    <w:rsid w:val="00C940F2"/>
    <w:rsid w:val="00C94593"/>
    <w:rsid w:val="00C94B50"/>
    <w:rsid w:val="00C953CC"/>
    <w:rsid w:val="00C956D1"/>
    <w:rsid w:val="00CA5C27"/>
    <w:rsid w:val="00CA630A"/>
    <w:rsid w:val="00CB230A"/>
    <w:rsid w:val="00CB4451"/>
    <w:rsid w:val="00CB5412"/>
    <w:rsid w:val="00CC0D1A"/>
    <w:rsid w:val="00CC3B2E"/>
    <w:rsid w:val="00CD27EA"/>
    <w:rsid w:val="00CE1A78"/>
    <w:rsid w:val="00CE3B99"/>
    <w:rsid w:val="00CE5AA9"/>
    <w:rsid w:val="00CE68E3"/>
    <w:rsid w:val="00CF27B4"/>
    <w:rsid w:val="00CF295B"/>
    <w:rsid w:val="00CF4D90"/>
    <w:rsid w:val="00CF75E1"/>
    <w:rsid w:val="00D015CD"/>
    <w:rsid w:val="00D0631D"/>
    <w:rsid w:val="00D06A5A"/>
    <w:rsid w:val="00D078D0"/>
    <w:rsid w:val="00D1065F"/>
    <w:rsid w:val="00D10D72"/>
    <w:rsid w:val="00D11EC6"/>
    <w:rsid w:val="00D13EE4"/>
    <w:rsid w:val="00D1498B"/>
    <w:rsid w:val="00D16ACF"/>
    <w:rsid w:val="00D1750F"/>
    <w:rsid w:val="00D26B3A"/>
    <w:rsid w:val="00D31986"/>
    <w:rsid w:val="00D33117"/>
    <w:rsid w:val="00D33BD4"/>
    <w:rsid w:val="00D41FC5"/>
    <w:rsid w:val="00D42EAB"/>
    <w:rsid w:val="00D439BA"/>
    <w:rsid w:val="00D47814"/>
    <w:rsid w:val="00D50D54"/>
    <w:rsid w:val="00D5563E"/>
    <w:rsid w:val="00D5646A"/>
    <w:rsid w:val="00D6022C"/>
    <w:rsid w:val="00D60959"/>
    <w:rsid w:val="00D62EDC"/>
    <w:rsid w:val="00D6355F"/>
    <w:rsid w:val="00D657BC"/>
    <w:rsid w:val="00D70D7F"/>
    <w:rsid w:val="00D70EF8"/>
    <w:rsid w:val="00D727F5"/>
    <w:rsid w:val="00D75469"/>
    <w:rsid w:val="00D8103E"/>
    <w:rsid w:val="00D87EB3"/>
    <w:rsid w:val="00D903FC"/>
    <w:rsid w:val="00D92AB7"/>
    <w:rsid w:val="00D936B2"/>
    <w:rsid w:val="00D96152"/>
    <w:rsid w:val="00DA16E2"/>
    <w:rsid w:val="00DA31A7"/>
    <w:rsid w:val="00DA6EB4"/>
    <w:rsid w:val="00DB24B2"/>
    <w:rsid w:val="00DB5269"/>
    <w:rsid w:val="00DB5620"/>
    <w:rsid w:val="00DC2AE0"/>
    <w:rsid w:val="00DC3954"/>
    <w:rsid w:val="00DC3AAF"/>
    <w:rsid w:val="00DC3F51"/>
    <w:rsid w:val="00DC7C92"/>
    <w:rsid w:val="00DD119B"/>
    <w:rsid w:val="00DD4C66"/>
    <w:rsid w:val="00DD4E7E"/>
    <w:rsid w:val="00DD5720"/>
    <w:rsid w:val="00DE13F2"/>
    <w:rsid w:val="00DE17AC"/>
    <w:rsid w:val="00DE1AAE"/>
    <w:rsid w:val="00DE3D00"/>
    <w:rsid w:val="00DE537D"/>
    <w:rsid w:val="00DE7872"/>
    <w:rsid w:val="00DF0476"/>
    <w:rsid w:val="00DF1E4D"/>
    <w:rsid w:val="00DF2B79"/>
    <w:rsid w:val="00DF34E0"/>
    <w:rsid w:val="00DF48B5"/>
    <w:rsid w:val="00E04E9B"/>
    <w:rsid w:val="00E10C07"/>
    <w:rsid w:val="00E12E33"/>
    <w:rsid w:val="00E15C6F"/>
    <w:rsid w:val="00E17AD2"/>
    <w:rsid w:val="00E23167"/>
    <w:rsid w:val="00E23C46"/>
    <w:rsid w:val="00E243B0"/>
    <w:rsid w:val="00E24A8B"/>
    <w:rsid w:val="00E24E47"/>
    <w:rsid w:val="00E26B6A"/>
    <w:rsid w:val="00E32B9B"/>
    <w:rsid w:val="00E334C0"/>
    <w:rsid w:val="00E3511E"/>
    <w:rsid w:val="00E37D43"/>
    <w:rsid w:val="00E37D9F"/>
    <w:rsid w:val="00E42E9C"/>
    <w:rsid w:val="00E433AA"/>
    <w:rsid w:val="00E45BAE"/>
    <w:rsid w:val="00E46B2A"/>
    <w:rsid w:val="00E46FED"/>
    <w:rsid w:val="00E47317"/>
    <w:rsid w:val="00E508FD"/>
    <w:rsid w:val="00E51084"/>
    <w:rsid w:val="00E56883"/>
    <w:rsid w:val="00E56FD6"/>
    <w:rsid w:val="00E5721B"/>
    <w:rsid w:val="00E637E9"/>
    <w:rsid w:val="00E644FE"/>
    <w:rsid w:val="00E7032C"/>
    <w:rsid w:val="00E75CFA"/>
    <w:rsid w:val="00E76D9E"/>
    <w:rsid w:val="00E8304D"/>
    <w:rsid w:val="00E84398"/>
    <w:rsid w:val="00E84848"/>
    <w:rsid w:val="00E859D1"/>
    <w:rsid w:val="00E87BE7"/>
    <w:rsid w:val="00E92BE0"/>
    <w:rsid w:val="00E95F80"/>
    <w:rsid w:val="00EA0864"/>
    <w:rsid w:val="00EA2627"/>
    <w:rsid w:val="00EA3486"/>
    <w:rsid w:val="00EB0C76"/>
    <w:rsid w:val="00EB20F9"/>
    <w:rsid w:val="00EB40C1"/>
    <w:rsid w:val="00EB4FA3"/>
    <w:rsid w:val="00EB58CF"/>
    <w:rsid w:val="00EB6458"/>
    <w:rsid w:val="00EB7C54"/>
    <w:rsid w:val="00EC11A7"/>
    <w:rsid w:val="00EC300B"/>
    <w:rsid w:val="00EC405F"/>
    <w:rsid w:val="00EC7F2C"/>
    <w:rsid w:val="00ED0F7B"/>
    <w:rsid w:val="00ED1690"/>
    <w:rsid w:val="00ED3074"/>
    <w:rsid w:val="00ED39ED"/>
    <w:rsid w:val="00ED7F8B"/>
    <w:rsid w:val="00EE17CE"/>
    <w:rsid w:val="00EE2569"/>
    <w:rsid w:val="00EF017E"/>
    <w:rsid w:val="00EF4EE4"/>
    <w:rsid w:val="00F0163E"/>
    <w:rsid w:val="00F0358A"/>
    <w:rsid w:val="00F04D3D"/>
    <w:rsid w:val="00F0579D"/>
    <w:rsid w:val="00F104E7"/>
    <w:rsid w:val="00F11D04"/>
    <w:rsid w:val="00F12C51"/>
    <w:rsid w:val="00F151F1"/>
    <w:rsid w:val="00F1682C"/>
    <w:rsid w:val="00F2201F"/>
    <w:rsid w:val="00F2276C"/>
    <w:rsid w:val="00F24E34"/>
    <w:rsid w:val="00F257A1"/>
    <w:rsid w:val="00F25ACE"/>
    <w:rsid w:val="00F31723"/>
    <w:rsid w:val="00F319EB"/>
    <w:rsid w:val="00F34ED8"/>
    <w:rsid w:val="00F3652C"/>
    <w:rsid w:val="00F36779"/>
    <w:rsid w:val="00F368CD"/>
    <w:rsid w:val="00F36A8C"/>
    <w:rsid w:val="00F37E1D"/>
    <w:rsid w:val="00F40D95"/>
    <w:rsid w:val="00F42B1E"/>
    <w:rsid w:val="00F52487"/>
    <w:rsid w:val="00F5384E"/>
    <w:rsid w:val="00F54B5F"/>
    <w:rsid w:val="00F5501D"/>
    <w:rsid w:val="00F62459"/>
    <w:rsid w:val="00F62751"/>
    <w:rsid w:val="00F63E76"/>
    <w:rsid w:val="00F6474B"/>
    <w:rsid w:val="00F70352"/>
    <w:rsid w:val="00F70953"/>
    <w:rsid w:val="00F70CE9"/>
    <w:rsid w:val="00F71BD2"/>
    <w:rsid w:val="00F72BA4"/>
    <w:rsid w:val="00F739FE"/>
    <w:rsid w:val="00F73B14"/>
    <w:rsid w:val="00F773AD"/>
    <w:rsid w:val="00F8272C"/>
    <w:rsid w:val="00F82A07"/>
    <w:rsid w:val="00F909EA"/>
    <w:rsid w:val="00F9664F"/>
    <w:rsid w:val="00FA0CC9"/>
    <w:rsid w:val="00FA25A3"/>
    <w:rsid w:val="00FA2C45"/>
    <w:rsid w:val="00FB075B"/>
    <w:rsid w:val="00FB2E03"/>
    <w:rsid w:val="00FB7597"/>
    <w:rsid w:val="00FC1EDB"/>
    <w:rsid w:val="00FC1F41"/>
    <w:rsid w:val="00FC6F6C"/>
    <w:rsid w:val="00FC74D7"/>
    <w:rsid w:val="00FD023F"/>
    <w:rsid w:val="00FD06AE"/>
    <w:rsid w:val="00FD0F3B"/>
    <w:rsid w:val="00FD1D36"/>
    <w:rsid w:val="00FD2B88"/>
    <w:rsid w:val="00FD4E2A"/>
    <w:rsid w:val="00FD66D9"/>
    <w:rsid w:val="00FE3E91"/>
    <w:rsid w:val="00FE47D7"/>
    <w:rsid w:val="00FE4D77"/>
    <w:rsid w:val="00FE644C"/>
    <w:rsid w:val="00FF1446"/>
    <w:rsid w:val="00FF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ABB05"/>
  <w15:docId w15:val="{AD97BFE4-E52A-4CFA-BDB0-890788E0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5ED"/>
  </w:style>
  <w:style w:type="paragraph" w:styleId="Naslov1">
    <w:name w:val="heading 1"/>
    <w:basedOn w:val="Normal"/>
    <w:next w:val="Normal"/>
    <w:link w:val="Naslov1Char"/>
    <w:qFormat/>
    <w:rsid w:val="00E26B6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44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449E0"/>
  </w:style>
  <w:style w:type="paragraph" w:styleId="Podnoje">
    <w:name w:val="footer"/>
    <w:basedOn w:val="Normal"/>
    <w:link w:val="PodnojeChar"/>
    <w:uiPriority w:val="99"/>
    <w:unhideWhenUsed/>
    <w:rsid w:val="00B44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449E0"/>
  </w:style>
  <w:style w:type="paragraph" w:styleId="Tekstbalonia">
    <w:name w:val="Balloon Text"/>
    <w:basedOn w:val="Normal"/>
    <w:link w:val="TekstbaloniaChar"/>
    <w:uiPriority w:val="99"/>
    <w:semiHidden/>
    <w:unhideWhenUsed/>
    <w:rsid w:val="00B44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49E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F3443"/>
    <w:pPr>
      <w:ind w:left="720"/>
      <w:contextualSpacing/>
    </w:pPr>
  </w:style>
  <w:style w:type="paragraph" w:styleId="Uvuenotijeloteksta">
    <w:name w:val="Body Text Indent"/>
    <w:basedOn w:val="Normal"/>
    <w:link w:val="UvuenotijelotekstaChar"/>
    <w:rsid w:val="00277D4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277D4C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Naslov1Char">
    <w:name w:val="Naslov 1 Char"/>
    <w:basedOn w:val="Zadanifontodlomka"/>
    <w:link w:val="Naslov1"/>
    <w:rsid w:val="00E26B6A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table" w:styleId="Reetkatablice">
    <w:name w:val="Table Grid"/>
    <w:basedOn w:val="Obinatablica"/>
    <w:uiPriority w:val="59"/>
    <w:rsid w:val="00987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uiPriority w:val="99"/>
    <w:semiHidden/>
    <w:unhideWhenUsed/>
    <w:rsid w:val="004919A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491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B54C0-FEB7-421A-89D1-C91479A8F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8</Pages>
  <Words>2700</Words>
  <Characters>15392</Characters>
  <Application>Microsoft Office Word</Application>
  <DocSecurity>0</DocSecurity>
  <Lines>128</Lines>
  <Paragraphs>36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Ines Zaharija</dc:creator>
  <cp:lastModifiedBy>Korisnik</cp:lastModifiedBy>
  <cp:revision>30</cp:revision>
  <cp:lastPrinted>2024-01-26T11:36:00Z</cp:lastPrinted>
  <dcterms:created xsi:type="dcterms:W3CDTF">2023-02-20T08:43:00Z</dcterms:created>
  <dcterms:modified xsi:type="dcterms:W3CDTF">2024-01-30T14:16:00Z</dcterms:modified>
</cp:coreProperties>
</file>